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COUPLED CLUSTER EVALUATION OF THE FREQUENCY DISPERSION OF THE FIRST AND SECOND HYPERPOLARIZABILITIES OF WATER, METHANOL AND DIMETHYL ETHER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Pierre Beaujean</w:t>
      </w:r>
      <w:r>
        <w:rPr>
          <w:rFonts w:ascii="Times New Roman" w:hAnsi="Times New Roman"/>
          <w:sz w:val="20"/>
          <w:szCs w:val="20"/>
        </w:rPr>
        <w:t xml:space="preserve"> and Benoît Champagne</w:t>
        <w:br/>
        <w:br/>
      </w:r>
      <w:r>
        <w:rPr>
          <w:rFonts w:ascii="Times New Roman" w:hAnsi="Times New Roman"/>
          <w:i/>
          <w:sz w:val="20"/>
          <w:szCs w:val="20"/>
        </w:rPr>
        <w:t xml:space="preserve">Laboratory of Theoretical Chemistry — University of Namur </w:t>
        <w:br/>
        <w:t>61, Rue de Bruxelles, B-5000 Namur</w:t>
      </w:r>
      <w:r>
        <w:rPr>
          <w:rFonts w:ascii="Times New Roman" w:hAnsi="Times New Roman"/>
          <w:i/>
          <w:sz w:val="20"/>
          <w:szCs w:val="20"/>
        </w:rPr>
        <w:br/>
        <w:t>pierre.beaujean@unamur.be</w:t>
        <w:br/>
        <w:br/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The static and dynamic first (β</w:t>
      </w:r>
      <w:r>
        <w:rPr>
          <w:rFonts w:ascii="Times New Roman" w:hAnsi="Times New Roman"/>
          <w:sz w:val="20"/>
          <w:szCs w:val="20"/>
          <w:vertAlign w:val="subscript"/>
        </w:rPr>
        <w:t>||</w:t>
      </w:r>
      <w:r>
        <w:rPr>
          <w:rFonts w:ascii="Times New Roman" w:hAnsi="Times New Roman"/>
          <w:sz w:val="20"/>
          <w:szCs w:val="20"/>
        </w:rPr>
        <w:t>) and the second (γ</w:t>
      </w:r>
      <w:r>
        <w:rPr>
          <w:rFonts w:ascii="Times New Roman" w:hAnsi="Times New Roman"/>
          <w:sz w:val="20"/>
          <w:szCs w:val="20"/>
          <w:vertAlign w:val="subscript"/>
        </w:rPr>
        <w:t>||</w:t>
      </w:r>
      <w:r>
        <w:rPr>
          <w:rFonts w:ascii="Times New Roman" w:hAnsi="Times New Roman"/>
          <w:sz w:val="20"/>
          <w:szCs w:val="20"/>
        </w:rPr>
        <w:t>) hyperpolarizabilities of water, methanol, and dimethyl ether have been evaluated within the response function approach [1,2] using a hierarchy of coupled cluster levels of approximation and doubly-augmented correlation consistent atomic basis sets. For the three compounds, the electronic β</w:t>
      </w:r>
      <w:r>
        <w:rPr>
          <w:rFonts w:ascii="Times New Roman" w:hAnsi="Times New Roman"/>
          <w:sz w:val="20"/>
          <w:szCs w:val="20"/>
          <w:vertAlign w:val="subscript"/>
        </w:rPr>
        <w:t>||</w:t>
      </w:r>
      <w:r>
        <w:rPr>
          <w:rFonts w:ascii="Times New Roman" w:hAnsi="Times New Roman"/>
          <w:sz w:val="20"/>
          <w:szCs w:val="20"/>
        </w:rPr>
        <w:t xml:space="preserve"> and γ</w:t>
      </w:r>
      <w:r>
        <w:rPr>
          <w:rFonts w:ascii="Times New Roman" w:hAnsi="Times New Roman"/>
          <w:sz w:val="20"/>
          <w:szCs w:val="20"/>
          <w:vertAlign w:val="subscript"/>
        </w:rPr>
        <w:t>||</w:t>
      </w:r>
      <w:r>
        <w:rPr>
          <w:rFonts w:ascii="Times New Roman" w:hAnsi="Times New Roman"/>
          <w:sz w:val="20"/>
          <w:szCs w:val="20"/>
        </w:rPr>
        <w:t xml:space="preserve"> values calculated at the CCSD and CC3 levels are in good agreement with gas phase electric field-induced second harmonic generation (EFISHG) measurements [3,4]. In addition, for dimethyl ether, the frequency dispersion of both properties follows closely recent experimental values [5] demonstrating the reliability of these methods and levels of approximation. This also suggests that the vibrational contributions to the EFISHG responses of these molecules are small.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</w:p>
    <w:p>
      <w:pPr>
        <w:pStyle w:val="Normal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[1] C. </w:t>
      </w:r>
      <w:r>
        <w:rPr>
          <w:rFonts w:ascii="Times New Roman" w:hAnsi="Times New Roman"/>
          <w:sz w:val="20"/>
          <w:szCs w:val="20"/>
        </w:rPr>
        <w:t xml:space="preserve">Hättig </w:t>
      </w:r>
      <w:r>
        <w:rPr>
          <w:rFonts w:ascii="Times New Roman" w:hAnsi="Times New Roman"/>
          <w:sz w:val="20"/>
          <w:szCs w:val="20"/>
        </w:rPr>
        <w:t xml:space="preserve">and </w:t>
      </w:r>
      <w:r>
        <w:rPr>
          <w:rFonts w:ascii="Times New Roman" w:hAnsi="Times New Roman"/>
          <w:sz w:val="20"/>
          <w:szCs w:val="20"/>
        </w:rPr>
        <w:t xml:space="preserve">P. Jørgensen,  Theo. Chem. Acc. </w:t>
      </w:r>
      <w:r>
        <w:rPr>
          <w:rFonts w:ascii="Times New Roman" w:hAnsi="Times New Roman"/>
          <w:sz w:val="20"/>
          <w:szCs w:val="20"/>
        </w:rPr>
        <w:t>100 (</w:t>
      </w:r>
      <w:r>
        <w:rPr>
          <w:rFonts w:ascii="Times New Roman" w:hAnsi="Times New Roman"/>
          <w:sz w:val="20"/>
          <w:szCs w:val="20"/>
        </w:rPr>
        <w:t>1998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 230</w:t>
        <w:br/>
      </w:r>
      <w:r>
        <w:rPr>
          <w:rFonts w:ascii="Times New Roman" w:hAnsi="Times New Roman"/>
          <w:sz w:val="20"/>
          <w:szCs w:val="20"/>
        </w:rPr>
        <w:t>[2]</w:t>
      </w:r>
      <w:r>
        <w:rPr>
          <w:rFonts w:ascii="Times New Roman" w:hAnsi="Times New Roman"/>
          <w:sz w:val="20"/>
          <w:szCs w:val="20"/>
        </w:rPr>
        <w:t xml:space="preserve"> C. Hättig </w:t>
      </w:r>
      <w:r>
        <w:rPr>
          <w:rFonts w:ascii="Times New Roman" w:hAnsi="Times New Roman"/>
          <w:sz w:val="20"/>
          <w:szCs w:val="20"/>
        </w:rPr>
        <w:t xml:space="preserve">and P. </w:t>
      </w:r>
      <w:r>
        <w:rPr>
          <w:rFonts w:ascii="Times New Roman" w:hAnsi="Times New Roman"/>
          <w:sz w:val="20"/>
          <w:szCs w:val="20"/>
        </w:rPr>
        <w:t xml:space="preserve">Jørgensen, </w:t>
      </w:r>
      <w:r>
        <w:rPr>
          <w:rFonts w:ascii="Times New Roman" w:hAnsi="Times New Roman"/>
          <w:sz w:val="20"/>
          <w:szCs w:val="20"/>
        </w:rPr>
        <w:t>Adv. Quant. Chem. 35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1999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 111</w:t>
        <w:br/>
      </w:r>
      <w:r>
        <w:rPr>
          <w:rFonts w:ascii="Times New Roman" w:hAnsi="Times New Roman"/>
          <w:sz w:val="20"/>
          <w:szCs w:val="20"/>
        </w:rPr>
        <w:t>[3] J.F. Ward and C. K. Miller, Phy. Rev. A 19 (1979), 826</w:t>
        <w:br/>
        <w:t>[4] P. Kaatz, E. Donley, and D.P. Shelton, J. Chem. Phys. 108 (1998), 849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[5] V. W. Couling and D. P. Shelton, J. Chem. Phys. 143 (2015), 224307</w:t>
      </w:r>
    </w:p>
    <w:sectPr>
      <w:type w:val="nextPage"/>
      <w:pgSz w:w="10318" w:h="14570"/>
      <w:pgMar w:left="1474" w:right="1474" w:header="0" w:top="1701" w:footer="0" w:bottom="170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spacing w:before="0" w:after="300"/>
      <w:contextualSpacing/>
      <w:jc w:val="center"/>
    </w:pPr>
    <w:rPr>
      <w:rFonts w:eastAsia="" w:cs="" w:cstheme="majorBidi" w:eastAsiaTheme="majorEastAsia"/>
      <w:b/>
      <w:spacing w:val="5"/>
      <w:sz w:val="48"/>
      <w:szCs w:val="5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LibreOffice/5.0.6.2$Linux_X86_64 LibreOffice_project/00m0$Build-2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2016-05-27T12:26:58Z</dcterms:created>
  <dc:creator>Pierre Beaujean</dc:creator>
  <dc:language>en-US</dc:language>
  <cp:lastModifiedBy>Pierre Beaujean</cp:lastModifiedBy>
  <dcterms:modified xsi:type="dcterms:W3CDTF">2016-05-27T12:28:45Z</dcterms:modified>
  <cp:revision>2</cp:revision>
</cp:coreProperties>
</file>