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exact" w:line="360" w:beforeAutospacing="0" w:before="180" w:afterAutospacing="0" w:after="180"/>
        <w:jc w:val="center"/>
        <w:rPr>
          <w:rFonts w:ascii="Calibri" w:hAnsi="Calibri"/>
        </w:rPr>
      </w:pPr>
      <w:r>
        <w:rPr>
          <w:rFonts w:cs="Calibri" w:ascii="Calibri" w:hAnsi="Calibri"/>
          <w:b/>
          <w:bCs/>
          <w:sz w:val="28"/>
          <w:szCs w:val="28"/>
          <w:lang w:val="en-US"/>
        </w:rPr>
        <w:t>Evaluating the electronic and vibrational contributions to second and third harmonic scattering responses</w:t>
      </w:r>
    </w:p>
    <w:p>
      <w:pPr>
        <w:pStyle w:val="TextBody"/>
        <w:jc w:val="center"/>
        <w:rPr>
          <w:rFonts w:ascii="Calibri" w:hAnsi="Calibri"/>
        </w:rPr>
      </w:pPr>
      <w:r>
        <w:rPr>
          <w:rFonts w:cs="Calibri" w:ascii="Calibri" w:hAnsi="Calibri"/>
          <w:b/>
          <w:bCs/>
          <w:u w:val="none"/>
        </w:rPr>
        <w:t xml:space="preserve">Pierre BEAUJEAN </w:t>
      </w:r>
      <w:r>
        <w:rPr>
          <w:rFonts w:cs="Calibri" w:ascii="Calibri" w:hAnsi="Calibri"/>
          <w:b/>
          <w:bCs/>
        </w:rPr>
        <w:t>and Benoît CHAMPAGNE</w:t>
      </w:r>
    </w:p>
    <w:p>
      <w:pPr>
        <w:pStyle w:val="TextBody"/>
        <w:spacing w:before="60" w:after="40"/>
        <w:jc w:val="center"/>
        <w:rPr>
          <w:rFonts w:ascii="Calibri" w:hAnsi="Calibri"/>
          <w:i/>
          <w:i/>
          <w:iCs/>
        </w:rPr>
      </w:pPr>
      <w:r>
        <w:rPr>
          <w:rFonts w:cs="Calibri" w:ascii="Calibri" w:hAnsi="Calibri"/>
          <w:i/>
          <w:iCs/>
        </w:rPr>
        <w:t xml:space="preserve">Laboratory of Theoretical Chemistry, Namur Institute of Structured Matter, </w:t>
      </w:r>
    </w:p>
    <w:p>
      <w:pPr>
        <w:pStyle w:val="TextBody"/>
        <w:spacing w:before="60" w:after="40"/>
        <w:jc w:val="center"/>
        <w:rPr>
          <w:rFonts w:ascii="Calibri" w:hAnsi="Calibri"/>
          <w:i/>
          <w:i/>
          <w:iCs/>
        </w:rPr>
      </w:pPr>
      <w:r>
        <w:rPr>
          <w:rFonts w:cs="Calibri" w:ascii="Calibri" w:hAnsi="Calibri"/>
          <w:i/>
          <w:iCs/>
        </w:rPr>
        <w:t xml:space="preserve">University of Namur - </w:t>
      </w:r>
      <w:r>
        <w:rPr>
          <w:rFonts w:cs="Arial" w:ascii="Calibri" w:hAnsi="Calibri"/>
          <w:i/>
          <w:iCs/>
        </w:rPr>
        <w:t>61, Rue de Bruxelles, B-5000 Namur</w:t>
      </w:r>
      <w:r>
        <w:rPr>
          <w:rFonts w:cs="Calibri" w:ascii="Calibri" w:hAnsi="Calibri"/>
          <w:i/>
          <w:iCs/>
        </w:rPr>
        <w:t xml:space="preserve">, Belgium, </w:t>
      </w:r>
    </w:p>
    <w:p>
      <w:pPr>
        <w:pStyle w:val="TextBody"/>
        <w:spacing w:before="60" w:after="40"/>
        <w:jc w:val="center"/>
        <w:rPr/>
      </w:pPr>
      <w:r>
        <w:rPr>
          <w:rFonts w:cs="Calibri" w:ascii="Calibri" w:hAnsi="Calibri"/>
          <w:i/>
          <w:iCs/>
        </w:rPr>
        <w:t xml:space="preserve">E-mail: </w:t>
      </w:r>
      <w:hyperlink r:id="rId2">
        <w:r>
          <w:rPr>
            <w:rStyle w:val="InternetLink"/>
            <w:rFonts w:cs="Arial" w:ascii="Calibri" w:hAnsi="Calibri"/>
            <w:i/>
            <w:iCs/>
          </w:rPr>
          <w:t>pierre.beaujean@unamur.be</w:t>
        </w:r>
      </w:hyperlink>
      <w:r>
        <w:rPr>
          <w:rFonts w:cs="Arial" w:ascii="Calibri" w:hAnsi="Calibri"/>
          <w:i/>
          <w:iCs/>
        </w:rPr>
        <w:t xml:space="preserve"> </w:t>
      </w:r>
    </w:p>
    <w:p>
      <w:pPr>
        <w:pStyle w:val="NormalWeb"/>
        <w:spacing w:lineRule="exact" w:line="300" w:beforeAutospacing="0" w:before="120" w:afterAutospacing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xtBody"/>
        <w:rPr>
          <w:rFonts w:ascii="Calibri" w:hAnsi="Calibri"/>
        </w:rPr>
      </w:pPr>
      <w:r>
        <w:rPr>
          <w:rFonts w:cs="Arial" w:ascii="Calibri" w:hAnsi="Calibri"/>
        </w:rPr>
        <w:t>The second harmonic (β</w:t>
      </w:r>
      <w:r>
        <w:rPr>
          <w:rFonts w:cs="Arial" w:ascii="Calibri" w:hAnsi="Calibri"/>
          <w:vertAlign w:val="subscript"/>
        </w:rPr>
        <w:t>SHS</w:t>
      </w:r>
      <w:r>
        <w:rPr>
          <w:rFonts w:cs="Arial" w:ascii="Calibri" w:hAnsi="Calibri"/>
        </w:rPr>
        <w:t>) and third harmonic (γ</w:t>
      </w:r>
      <w:r>
        <w:rPr>
          <w:rFonts w:cs="Arial" w:ascii="Calibri" w:hAnsi="Calibri"/>
          <w:vertAlign w:val="subscript"/>
        </w:rPr>
        <w:t>THS</w:t>
      </w:r>
      <w:r>
        <w:rPr>
          <w:rFonts w:cs="Arial" w:ascii="Calibri" w:hAnsi="Calibri"/>
        </w:rPr>
        <w:t>) scattering hyperpolarizabilities and depolarization ratios of small molecules (water, carbon tetrachloride, chloroform, dichloromethane, chloromethane, and acetonitrile) have been evaluated at the coupled cluster response theory level of approximation</w:t>
      </w:r>
      <w:r>
        <w:rPr>
          <w:rFonts w:cs="Arial" w:ascii="Calibri" w:hAnsi="Calibri"/>
          <w:vertAlign w:val="superscript"/>
        </w:rPr>
        <w:t>[1,2]</w:t>
      </w:r>
      <w:r>
        <w:rPr>
          <w:rFonts w:cs="Arial" w:ascii="Calibri" w:hAnsi="Calibri"/>
        </w:rPr>
        <w:t xml:space="preserve"> and compared to experimental data. Besides the static and dynamic β</w:t>
      </w:r>
      <w:r>
        <w:rPr>
          <w:rFonts w:cs="Arial" w:ascii="Calibri" w:hAnsi="Calibri"/>
          <w:vertAlign w:val="subscript"/>
        </w:rPr>
        <w:t>SHS</w:t>
      </w:r>
      <w:r>
        <w:rPr>
          <w:rFonts w:cs="Arial" w:ascii="Calibri" w:hAnsi="Calibri"/>
        </w:rPr>
        <w:t xml:space="preserve"> and γ</w:t>
      </w:r>
      <w:r>
        <w:rPr>
          <w:rFonts w:cs="Arial" w:ascii="Calibri" w:hAnsi="Calibri"/>
          <w:vertAlign w:val="subscript"/>
        </w:rPr>
        <w:t>THS</w:t>
      </w:r>
      <w:r>
        <w:rPr>
          <w:rFonts w:cs="Arial" w:ascii="Calibri" w:hAnsi="Calibri"/>
        </w:rPr>
        <w:t xml:space="preserve"> responses, the depolarization ratios, which reveal the nature of the responses, are calculated.  For γ</w:t>
      </w:r>
      <w:r>
        <w:rPr>
          <w:rFonts w:cs="Arial" w:ascii="Calibri" w:hAnsi="Calibri"/>
          <w:vertAlign w:val="subscript"/>
        </w:rPr>
        <w:t>THS</w:t>
      </w:r>
      <w:r>
        <w:rPr>
          <w:rFonts w:cs="Arial" w:ascii="Calibri" w:hAnsi="Calibri"/>
        </w:rPr>
        <w:t xml:space="preserve"> these constitute the first quantum chemical investigations</w:t>
      </w:r>
      <w:r>
        <w:rPr>
          <w:rFonts w:cs="Arial" w:ascii="Calibri" w:hAnsi="Calibri"/>
          <w:vertAlign w:val="superscript"/>
        </w:rPr>
        <w:t>[3,4]</w:t>
      </w:r>
      <w:r>
        <w:rPr>
          <w:rFonts w:cs="Arial" w:ascii="Calibri" w:hAnsi="Calibri"/>
        </w:rPr>
        <w:t>, following two recent publications on their measurements</w:t>
      </w:r>
      <w:r>
        <w:rPr>
          <w:rFonts w:cs="Arial" w:ascii="Calibri" w:hAnsi="Calibri"/>
          <w:vertAlign w:val="superscript"/>
        </w:rPr>
        <w:t>[5,6]</w:t>
      </w:r>
      <w:r>
        <w:rPr>
          <w:rFonts w:cs="Arial" w:ascii="Calibri" w:hAnsi="Calibri"/>
        </w:rPr>
        <w:t xml:space="preserve">. </w:t>
      </w:r>
    </w:p>
    <w:p>
      <w:pPr>
        <w:pStyle w:val="TextBody"/>
        <w:rPr>
          <w:rFonts w:ascii="Calibri" w:hAnsi="Calibri"/>
        </w:rPr>
      </w:pPr>
      <w:r>
        <w:rPr>
          <w:rFonts w:cs="Arial" w:ascii="Calibri" w:hAnsi="Calibri"/>
        </w:rPr>
        <w:t xml:space="preserve">This </w:t>
      </w:r>
      <w:r>
        <w:rPr>
          <w:rFonts w:cs="Arial" w:ascii="Calibri" w:hAnsi="Calibri"/>
        </w:rPr>
        <w:t xml:space="preserve">contribution </w:t>
      </w:r>
      <w:r>
        <w:rPr>
          <w:rFonts w:cs="Arial" w:ascii="Calibri" w:hAnsi="Calibri"/>
        </w:rPr>
        <w:t>will address i) the choice of a suitable atomic basis set, ii) the importance of electron correlation contribution as a function of the chemical composition, iii) the frequency dispersion of the responses, iv) the amplitude of the vibrational contributions (pure vibrational and zero-point vibrational average</w:t>
      </w:r>
      <w:r>
        <w:rPr>
          <w:rFonts w:cs="Arial" w:ascii="Calibri" w:hAnsi="Calibri"/>
          <w:vertAlign w:val="superscript"/>
        </w:rPr>
        <w:t>[7]</w:t>
      </w:r>
      <w:r>
        <w:rPr>
          <w:rFonts w:cs="Arial" w:ascii="Calibri" w:hAnsi="Calibri"/>
        </w:rPr>
        <w:t xml:space="preserve">) in comparison to their electronic counterpart, and v) the relationships between the hyperpolarizabilities/depolarization ratios and the chemical composition. </w:t>
      </w:r>
    </w:p>
    <w:p>
      <w:pPr>
        <w:pStyle w:val="NormalWeb"/>
        <w:spacing w:lineRule="exact" w:line="300" w:beforeAutospacing="0" w:before="120" w:afterAutospacing="0" w:after="120"/>
        <w:jc w:val="both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</w:r>
    </w:p>
    <w:p>
      <w:pPr>
        <w:pStyle w:val="ListParagraph"/>
        <w:ind w:left="426" w:hanging="42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[1] </w:t>
        <w:tab/>
        <w:t xml:space="preserve">Hättig, C.; and Jørgensen, </w:t>
      </w:r>
      <w:r>
        <w:rPr>
          <w:rFonts w:cs="Arial" w:ascii="Calibri" w:hAnsi="Calibri"/>
          <w:sz w:val="22"/>
          <w:szCs w:val="22"/>
        </w:rPr>
        <w:t>P.</w:t>
      </w:r>
      <w:r>
        <w:rPr>
          <w:rFonts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i/>
          <w:iCs/>
          <w:sz w:val="22"/>
          <w:szCs w:val="22"/>
        </w:rPr>
        <w:t xml:space="preserve">Theor. Chem. Acc. </w:t>
      </w:r>
      <w:r>
        <w:rPr>
          <w:rFonts w:cs="Arial" w:ascii="Calibri" w:hAnsi="Calibri"/>
          <w:b/>
          <w:sz w:val="22"/>
          <w:szCs w:val="22"/>
        </w:rPr>
        <w:t>100</w:t>
      </w:r>
      <w:r>
        <w:rPr>
          <w:rFonts w:cs="Arial" w:ascii="Calibri" w:hAnsi="Calibri"/>
          <w:sz w:val="22"/>
          <w:szCs w:val="22"/>
        </w:rPr>
        <w:t>, 230 (1998).</w:t>
      </w:r>
    </w:p>
    <w:p>
      <w:pPr>
        <w:pStyle w:val="ListParagraph"/>
        <w:ind w:left="426" w:hanging="42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[2] </w:t>
        <w:tab/>
        <w:t xml:space="preserve">Hättig,C.; and Jørgensen,  P. </w:t>
      </w:r>
      <w:r>
        <w:rPr>
          <w:rFonts w:cs="Arial" w:ascii="Calibri" w:hAnsi="Calibri"/>
          <w:i/>
          <w:iCs/>
          <w:sz w:val="22"/>
          <w:szCs w:val="22"/>
        </w:rPr>
        <w:t>Adv. Quant. Chem.</w:t>
      </w:r>
      <w:r>
        <w:rPr>
          <w:rFonts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b/>
          <w:sz w:val="22"/>
          <w:szCs w:val="22"/>
        </w:rPr>
        <w:t>35</w:t>
      </w:r>
      <w:r>
        <w:rPr>
          <w:rFonts w:cs="Arial" w:ascii="Calibri" w:hAnsi="Calibri"/>
          <w:sz w:val="22"/>
          <w:szCs w:val="22"/>
        </w:rPr>
        <w:t>, 111 (1999).</w:t>
      </w:r>
    </w:p>
    <w:p>
      <w:pPr>
        <w:pStyle w:val="ListParagraph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[3] </w:t>
        <w:tab/>
      </w:r>
      <w:r>
        <w:rPr>
          <w:rFonts w:cs="Arial" w:ascii="Calibri" w:hAnsi="Calibri"/>
          <w:i w:val="false"/>
          <w:iCs w:val="false"/>
          <w:sz w:val="22"/>
          <w:szCs w:val="22"/>
        </w:rPr>
        <w:t xml:space="preserve">Beaujean, </w:t>
      </w:r>
      <w:r>
        <w:rPr>
          <w:rFonts w:cs="Arial" w:ascii="Calibri" w:hAnsi="Calibri"/>
          <w:i w:val="false"/>
          <w:iCs w:val="false"/>
          <w:sz w:val="22"/>
          <w:szCs w:val="22"/>
        </w:rPr>
        <w:t xml:space="preserve">P.; </w:t>
      </w:r>
      <w:r>
        <w:rPr>
          <w:rFonts w:cs="Arial" w:ascii="Calibri" w:hAnsi="Calibri"/>
          <w:i w:val="false"/>
          <w:iCs w:val="false"/>
          <w:sz w:val="22"/>
          <w:szCs w:val="22"/>
        </w:rPr>
        <w:t>and Champagne, B.</w:t>
      </w:r>
      <w:r>
        <w:rPr>
          <w:rFonts w:cs="Arial" w:ascii="Calibri" w:hAnsi="Calibri"/>
          <w:i/>
          <w:iCs/>
          <w:sz w:val="22"/>
          <w:szCs w:val="22"/>
        </w:rPr>
        <w:t xml:space="preserve"> Theor. Chem. Acc. </w:t>
      </w:r>
      <w:r>
        <w:rPr>
          <w:rFonts w:cs="Arial" w:ascii="Calibri" w:hAnsi="Calibri"/>
          <w:b/>
          <w:bCs/>
          <w:sz w:val="22"/>
          <w:szCs w:val="22"/>
        </w:rPr>
        <w:t>137</w:t>
      </w:r>
      <w:r>
        <w:rPr>
          <w:rFonts w:cs="Arial" w:ascii="Calibri" w:hAnsi="Calibri"/>
          <w:sz w:val="22"/>
          <w:szCs w:val="22"/>
        </w:rPr>
        <w:t>, 50</w:t>
      </w:r>
      <w:r>
        <w:rPr>
          <w:rFonts w:cs="Arial" w:ascii="Calibri" w:hAnsi="Calibri"/>
          <w:b/>
          <w:bCs/>
          <w:sz w:val="22"/>
          <w:szCs w:val="22"/>
        </w:rPr>
        <w:t xml:space="preserve"> </w:t>
      </w:r>
      <w:r>
        <w:rPr>
          <w:rFonts w:cs="Arial" w:ascii="Calibri" w:hAnsi="Calibri"/>
          <w:sz w:val="22"/>
          <w:szCs w:val="22"/>
        </w:rPr>
        <w:t>(2018).</w:t>
      </w:r>
    </w:p>
    <w:p>
      <w:pPr>
        <w:pStyle w:val="ListParagraph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[4] </w:t>
        <w:tab/>
      </w:r>
      <w:r>
        <w:rPr>
          <w:rFonts w:cs="Arial" w:ascii="Calibri" w:hAnsi="Calibri"/>
          <w:i w:val="false"/>
          <w:iCs w:val="false"/>
          <w:sz w:val="22"/>
          <w:szCs w:val="22"/>
        </w:rPr>
        <w:t xml:space="preserve">Beaujean, </w:t>
      </w:r>
      <w:r>
        <w:rPr>
          <w:rFonts w:cs="Arial" w:ascii="Calibri" w:hAnsi="Calibri"/>
          <w:i w:val="false"/>
          <w:iCs w:val="false"/>
          <w:sz w:val="22"/>
          <w:szCs w:val="22"/>
        </w:rPr>
        <w:t xml:space="preserve">P.; </w:t>
      </w:r>
      <w:r>
        <w:rPr>
          <w:rFonts w:cs="Arial" w:ascii="Calibri" w:hAnsi="Calibri"/>
          <w:i w:val="false"/>
          <w:iCs w:val="false"/>
          <w:sz w:val="22"/>
          <w:szCs w:val="22"/>
        </w:rPr>
        <w:t xml:space="preserve">and Champagne, B. </w:t>
      </w:r>
      <w:r>
        <w:rPr>
          <w:rFonts w:cs="Arial" w:ascii="Calibri" w:hAnsi="Calibri"/>
          <w:i/>
          <w:iCs/>
          <w:sz w:val="22"/>
          <w:szCs w:val="22"/>
        </w:rPr>
        <w:t xml:space="preserve">J. Chem. Phys. </w:t>
      </w:r>
      <w:r>
        <w:rPr>
          <w:rFonts w:cs="Arial" w:ascii="Calibri" w:hAnsi="Calibri"/>
          <w:i w:val="false"/>
          <w:iCs w:val="false"/>
          <w:sz w:val="22"/>
          <w:szCs w:val="22"/>
        </w:rPr>
        <w:t xml:space="preserve">accepted </w:t>
      </w:r>
      <w:r>
        <w:rPr>
          <w:rFonts w:cs="Arial" w:ascii="Calibri" w:hAnsi="Calibri"/>
          <w:sz w:val="22"/>
          <w:szCs w:val="22"/>
        </w:rPr>
        <w:t>(2019).</w:t>
      </w:r>
    </w:p>
    <w:p>
      <w:pPr>
        <w:pStyle w:val="ListParagraph"/>
        <w:ind w:left="426" w:hanging="42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[5] </w:t>
        <w:tab/>
        <w:t xml:space="preserve">Van Steerteghem, N.; Clays, K.; Verbiest,  T.; and Van Cleuvenbergen, S. </w:t>
      </w:r>
      <w:r>
        <w:rPr>
          <w:rFonts w:cs="Arial" w:ascii="Calibri" w:hAnsi="Calibri"/>
          <w:i/>
          <w:iCs/>
          <w:sz w:val="22"/>
          <w:szCs w:val="22"/>
        </w:rPr>
        <w:t xml:space="preserve">Anal. Chem. </w:t>
      </w:r>
      <w:r>
        <w:rPr>
          <w:rFonts w:cs="Arial" w:ascii="Calibri" w:hAnsi="Calibri"/>
          <w:b/>
          <w:sz w:val="22"/>
          <w:szCs w:val="22"/>
        </w:rPr>
        <w:t>89</w:t>
      </w:r>
      <w:r>
        <w:rPr>
          <w:rFonts w:cs="Arial" w:ascii="Calibri" w:hAnsi="Calibri"/>
          <w:sz w:val="22"/>
          <w:szCs w:val="22"/>
        </w:rPr>
        <w:t>, 2964 (2017).</w:t>
      </w:r>
    </w:p>
    <w:p>
      <w:pPr>
        <w:pStyle w:val="ListParagraph"/>
        <w:ind w:left="426" w:hanging="42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[6] </w:t>
        <w:tab/>
        <w:t xml:space="preserve">Rodriguez, V. </w:t>
      </w:r>
      <w:r>
        <w:rPr>
          <w:rFonts w:cs="Arial" w:ascii="Calibri" w:hAnsi="Calibri"/>
          <w:i/>
          <w:iCs/>
          <w:sz w:val="22"/>
          <w:szCs w:val="22"/>
        </w:rPr>
        <w:t>J. Chem. Phys.</w:t>
      </w:r>
      <w:r>
        <w:rPr>
          <w:rFonts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b/>
          <w:sz w:val="22"/>
          <w:szCs w:val="22"/>
        </w:rPr>
        <w:t>121</w:t>
      </w:r>
      <w:r>
        <w:rPr>
          <w:rFonts w:cs="Arial" w:ascii="Calibri" w:hAnsi="Calibri"/>
          <w:sz w:val="22"/>
          <w:szCs w:val="22"/>
        </w:rPr>
        <w:t>, 8510 (2017).</w:t>
      </w:r>
    </w:p>
    <w:p>
      <w:pPr>
        <w:pStyle w:val="ListParagraph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[7</w:t>
      </w:r>
      <w:bookmarkStart w:id="0" w:name="_GoBack"/>
      <w:bookmarkEnd w:id="0"/>
      <w:r>
        <w:rPr>
          <w:rFonts w:cs="Arial" w:ascii="Calibri" w:hAnsi="Calibri"/>
          <w:sz w:val="22"/>
          <w:szCs w:val="22"/>
        </w:rPr>
        <w:t xml:space="preserve">] </w:t>
        <w:tab/>
        <w:t>Bishop, D. M.; Luis, J. M.; and Kirtman, B.</w:t>
      </w:r>
      <w:r>
        <w:rPr>
          <w:rFonts w:cs="Arial" w:ascii="Calibri" w:hAnsi="Calibri"/>
          <w:i/>
          <w:iCs/>
          <w:sz w:val="22"/>
          <w:szCs w:val="22"/>
        </w:rPr>
        <w:t xml:space="preserve"> J. Chem. Phys.</w:t>
      </w:r>
      <w:r>
        <w:rPr>
          <w:rFonts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b/>
          <w:bCs/>
          <w:sz w:val="22"/>
          <w:szCs w:val="22"/>
        </w:rPr>
        <w:t>109</w:t>
      </w:r>
      <w:r>
        <w:rPr>
          <w:rFonts w:cs="Arial" w:ascii="Calibri" w:hAnsi="Calibri"/>
          <w:sz w:val="22"/>
          <w:szCs w:val="22"/>
        </w:rPr>
        <w:t>, 10013 (1998).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sectPr>
      <w:type w:val="nextPage"/>
      <w:pgSz w:w="11906" w:h="16838"/>
      <w:pgMar w:left="1138" w:right="1138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9f58c7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ascii="Calibri" w:hAnsi="Calibri" w:cs="Calibri"/>
      <w:i/>
      <w:iCs/>
    </w:rPr>
  </w:style>
  <w:style w:type="character" w:styleId="ListLabel2" w:customStyle="1">
    <w:name w:val="ListLabel 2"/>
    <w:qFormat/>
    <w:rPr>
      <w:rFonts w:ascii="Arial" w:hAnsi="Arial" w:cs="Arial"/>
      <w:i/>
      <w:iCs/>
    </w:rPr>
  </w:style>
  <w:style w:type="character" w:styleId="ListLabel3" w:customStyle="1">
    <w:name w:val="ListLabel 3"/>
    <w:qFormat/>
    <w:rPr>
      <w:rFonts w:ascii="Arial" w:hAnsi="Arial" w:cs="Arial"/>
      <w:i/>
      <w:iCs/>
    </w:rPr>
  </w:style>
  <w:style w:type="character" w:styleId="ListLabel4">
    <w:name w:val="ListLabel 4"/>
    <w:qFormat/>
    <w:rPr>
      <w:rFonts w:cs="Arial"/>
      <w:i/>
    </w:rPr>
  </w:style>
  <w:style w:type="character" w:styleId="ListLabel5">
    <w:name w:val="ListLabel 5"/>
    <w:qFormat/>
    <w:rPr>
      <w:rFonts w:cs="Arial"/>
      <w:i w:val="false"/>
      <w:iCs w:val="fals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before="0" w:after="140"/>
      <w:jc w:val="both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NormalWeb">
    <w:name w:val="Normal (Web)"/>
    <w:basedOn w:val="Normal"/>
    <w:uiPriority w:val="99"/>
    <w:unhideWhenUsed/>
    <w:qFormat/>
    <w:rsid w:val="009f58c7"/>
    <w:pPr>
      <w:spacing w:beforeAutospacing="1" w:afterAutospacing="1"/>
    </w:pPr>
    <w:rPr>
      <w:rFonts w:eastAsia="Times New Roman" w:cs="Times New Roman"/>
      <w:lang w:val="fr-BE" w:eastAsia="fr-FR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15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ierre.beaujean@unamur.b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Application>LibreOffice/6.1.6.3$Linux_X86_64 LibreOffice_project/10$Build-3</Application>
  <Pages>1</Pages>
  <Words>271</Words>
  <Characters>1672</Characters>
  <CharactersWithSpaces>1944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2018-06-02T08:58:00Z</dcterms:created>
  <dc:creator>Utilisateur de Microsoft Office</dc:creator>
  <dc:description/>
  <dc:language>en-US</dc:language>
  <cp:lastModifiedBy/>
  <dcterms:modified xsi:type="dcterms:W3CDTF">2019-07-02T14:38:14Z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