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Coupled cluster evaluation of the second and third harmonic scattering responses of small molecules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u w:val="single"/>
        </w:rPr>
        <w:t>Pierre Beaujean</w:t>
      </w:r>
      <w:r>
        <w:rPr>
          <w:rFonts w:cs="Arial" w:ascii="Arial" w:hAnsi="Arial"/>
        </w:rPr>
        <w:t xml:space="preserve"> and Benoît Champagne</w:t>
        <w:br/>
        <w:br/>
      </w:r>
      <w:r>
        <w:rPr>
          <w:rFonts w:cs="Arial" w:ascii="Arial" w:hAnsi="Arial"/>
          <w:i/>
        </w:rPr>
        <w:t xml:space="preserve">Laboratory of Theoretical Chemistry — University of Namur </w:t>
        <w:br/>
        <w:t>61, Rue de Bruxelles, B-5000 Namur</w:t>
        <w:br/>
        <w:t>pierre.beaujean@unamur.be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The static and dynamic second harmonic (β</w:t>
      </w:r>
      <w:r>
        <w:rPr>
          <w:rFonts w:cs="Arial" w:ascii="Arial" w:hAnsi="Arial"/>
          <w:vertAlign w:val="subscript"/>
        </w:rPr>
        <w:t>SHS</w:t>
      </w:r>
      <w:r>
        <w:rPr>
          <w:rFonts w:cs="Arial" w:ascii="Arial" w:hAnsi="Arial"/>
        </w:rPr>
        <w:t>) and third harmonic (γ</w:t>
      </w:r>
      <w:r>
        <w:rPr>
          <w:rFonts w:cs="Arial" w:ascii="Arial" w:hAnsi="Arial"/>
          <w:vertAlign w:val="subscript"/>
        </w:rPr>
        <w:t>THS</w:t>
      </w:r>
      <w:r>
        <w:rPr>
          <w:rFonts w:cs="Arial" w:ascii="Arial" w:hAnsi="Arial"/>
        </w:rPr>
        <w:t>) scattering hyperpolarizabilities and depolarization ratios of water, carbon tetrachloride, chloroform, dichloromethane, chloromethane, and acetonitrile have been evaluated at the coupled cluster response theory level of approximation [1,2]. Following two recent publications on their measurements [3,4], this is the first quantum chemical investigation on γ</w:t>
      </w:r>
      <w:r>
        <w:rPr>
          <w:rFonts w:cs="Arial" w:ascii="Arial" w:hAnsi="Arial"/>
          <w:vertAlign w:val="subscript"/>
        </w:rPr>
        <w:t>THS</w:t>
      </w:r>
      <w:r>
        <w:rPr>
          <w:rFonts w:cs="Arial" w:ascii="Arial" w:hAnsi="Arial"/>
        </w:rPr>
        <w:t xml:space="preserve"> and on its decomposition into its spherical tensor components. Substantial electron correlation and basis set effects are evidenced for β</w:t>
      </w:r>
      <w:r>
        <w:rPr>
          <w:rFonts w:cs="Arial" w:ascii="Arial" w:hAnsi="Arial"/>
          <w:vertAlign w:val="subscript"/>
        </w:rPr>
        <w:t>SHS</w:t>
      </w:r>
      <w:r>
        <w:rPr>
          <w:rFonts w:cs="Arial" w:ascii="Arial" w:hAnsi="Arial"/>
        </w:rPr>
        <w:t xml:space="preserve"> and γ</w:t>
      </w:r>
      <w:r>
        <w:rPr>
          <w:rFonts w:cs="Arial" w:ascii="Arial" w:hAnsi="Arial"/>
          <w:vertAlign w:val="subscript"/>
        </w:rPr>
        <w:t>THS</w:t>
      </w:r>
      <w:r>
        <w:rPr>
          <w:rFonts w:cs="Arial" w:ascii="Arial" w:hAnsi="Arial"/>
        </w:rPr>
        <w:t xml:space="preserve"> and for their depolarization ratios and they depend on the nature of the molecule. Then, using the selected CCSD/d-aug-cc-pVDZ level, the chlorinated methane derivatives have been studied, showing that: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The γ</w:t>
      </w:r>
      <w:r>
        <w:rPr>
          <w:rFonts w:cs="Arial" w:ascii="Arial" w:hAnsi="Arial"/>
          <w:vertAlign w:val="subscript"/>
        </w:rPr>
        <w:t>THS</w:t>
      </w:r>
      <w:r>
        <w:rPr>
          <w:rFonts w:cs="Arial" w:ascii="Arial" w:hAnsi="Arial"/>
        </w:rPr>
        <w:t xml:space="preserve"> response is dominated by its isotropic contribution 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For β</w:t>
      </w:r>
      <w:r>
        <w:rPr>
          <w:rFonts w:cs="Arial" w:ascii="Arial" w:hAnsi="Arial"/>
          <w:vertAlign w:val="subscript"/>
        </w:rPr>
        <w:t>SHS</w:t>
      </w:r>
      <w:r>
        <w:rPr>
          <w:rFonts w:cs="Arial" w:ascii="Arial" w:hAnsi="Arial"/>
        </w:rPr>
        <w:t xml:space="preserve"> the dipolar contribution increases from carbon tetrachloride to dichloromethane, chloroform, chloromethane, and acetonitrile.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>Comparisons with the experimental data obtained from measurements in liquid phase show that the increase of γ</w:t>
      </w:r>
      <w:r>
        <w:rPr>
          <w:rFonts w:cs="Arial" w:ascii="Arial" w:hAnsi="Arial"/>
          <w:vertAlign w:val="subscript"/>
        </w:rPr>
        <w:t>THS</w:t>
      </w:r>
      <w:r>
        <w:rPr>
          <w:rFonts w:cs="Arial" w:ascii="Arial" w:hAnsi="Arial"/>
        </w:rPr>
        <w:t xml:space="preserve"> with the number for chlorine atoms is well reproduced by the calculations and suggest that the solvation effects are smaller for γ</w:t>
      </w:r>
      <w:r>
        <w:rPr>
          <w:rFonts w:cs="Arial" w:ascii="Arial" w:hAnsi="Arial"/>
          <w:vertAlign w:val="subscript"/>
        </w:rPr>
        <w:t>THS</w:t>
      </w:r>
      <w:r>
        <w:rPr>
          <w:rFonts w:cs="Arial" w:ascii="Arial" w:hAnsi="Arial"/>
        </w:rPr>
        <w:t xml:space="preserve"> than for β</w:t>
      </w:r>
      <w:r>
        <w:rPr>
          <w:rFonts w:cs="Arial" w:ascii="Arial" w:hAnsi="Arial"/>
          <w:vertAlign w:val="subscript"/>
        </w:rPr>
        <w:t>SHS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</w:rPr>
        <w:t>[5]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C. Hättig and P. Jørgensen, </w:t>
      </w:r>
      <w:r>
        <w:rPr>
          <w:rFonts w:cs="Arial" w:ascii="Arial" w:hAnsi="Arial"/>
          <w:i/>
        </w:rPr>
        <w:t xml:space="preserve">Theo. Chem. Acc. </w:t>
      </w:r>
      <w:r>
        <w:rPr>
          <w:rFonts w:cs="Arial" w:ascii="Arial" w:hAnsi="Arial"/>
          <w:b/>
        </w:rPr>
        <w:t>100</w:t>
      </w:r>
      <w:r>
        <w:rPr>
          <w:rFonts w:cs="Arial" w:ascii="Arial" w:hAnsi="Arial"/>
        </w:rPr>
        <w:t xml:space="preserve"> (1998), 230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C. Hättig and P. Jørgensen, </w:t>
      </w:r>
      <w:r>
        <w:rPr>
          <w:rFonts w:cs="Arial" w:ascii="Arial" w:hAnsi="Arial"/>
          <w:i/>
        </w:rPr>
        <w:t>Adv. Quant. Chem.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35</w:t>
      </w:r>
      <w:r>
        <w:rPr>
          <w:rFonts w:cs="Arial" w:ascii="Arial" w:hAnsi="Arial"/>
        </w:rPr>
        <w:t xml:space="preserve"> (1999), 111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N. Van Steerteghem, K. Clays, T. Verbiest, S. Van Cleuvenbergen,</w:t>
      </w:r>
      <w:r>
        <w:rPr>
          <w:rFonts w:cs="Arial" w:ascii="Arial" w:hAnsi="Arial"/>
          <w:i/>
        </w:rPr>
        <w:t xml:space="preserve"> Anal. Chem.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89</w:t>
      </w:r>
      <w:r>
        <w:rPr>
          <w:rFonts w:cs="Arial" w:ascii="Arial" w:hAnsi="Arial"/>
        </w:rPr>
        <w:t xml:space="preserve"> (2017), 2964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rFonts w:cs="Arial" w:ascii="Arial" w:hAnsi="Arial"/>
        </w:rPr>
        <w:t xml:space="preserve">Rodriguez, </w:t>
      </w:r>
      <w:r>
        <w:rPr>
          <w:rFonts w:cs="Arial" w:ascii="Arial" w:hAnsi="Arial"/>
          <w:i/>
        </w:rPr>
        <w:t>J. Chem. Phys. C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121</w:t>
      </w:r>
      <w:r>
        <w:rPr>
          <w:rFonts w:cs="Arial" w:ascii="Arial" w:hAnsi="Arial"/>
        </w:rPr>
        <w:t xml:space="preserve"> (2017), 8510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rPr/>
      </w:pPr>
      <w:r>
        <w:rPr>
          <w:rFonts w:cs="Arial" w:ascii="Arial" w:hAnsi="Arial"/>
        </w:rPr>
        <w:t xml:space="preserve">P. Beaujean and B. Champagne, </w:t>
      </w:r>
      <w:r>
        <w:rPr>
          <w:rFonts w:cs="Arial" w:ascii="Arial" w:hAnsi="Arial"/>
          <w:i/>
          <w:iCs/>
        </w:rPr>
        <w:t xml:space="preserve">Theo. Chem. Acc. </w:t>
      </w:r>
      <w:r>
        <w:rPr>
          <w:rFonts w:cs="Arial" w:ascii="Arial" w:hAnsi="Arial"/>
          <w:b/>
          <w:bCs/>
          <w:i w:val="false"/>
          <w:iCs w:val="false"/>
        </w:rPr>
        <w:t xml:space="preserve">137 </w:t>
      </w:r>
      <w:r>
        <w:rPr>
          <w:rFonts w:cs="Arial" w:ascii="Arial" w:hAnsi="Arial"/>
          <w:b w:val="false"/>
          <w:bCs w:val="false"/>
          <w:i w:val="false"/>
          <w:iCs w:val="false"/>
        </w:rPr>
        <w:t>(2018), 50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60ae9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60ae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LibreOffice/5.0.6.2$Linux_X86_64 LibreOffice_project/00m0$Build-2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2018-01-09T08:52:00Z</dcterms:created>
  <dc:creator>Pierre</dc:creator>
  <dc:language>en-US</dc:language>
  <cp:lastModifiedBy>Pierre Beaujean</cp:lastModifiedBy>
  <dcterms:modified xsi:type="dcterms:W3CDTF">2018-03-13T08:20:35Z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