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E" w:rsidRDefault="00B71B3E" w:rsidP="00B71B3E">
      <w:pPr>
        <w:spacing w:after="240" w:line="360" w:lineRule="auto"/>
        <w:ind w:firstLine="426"/>
      </w:pPr>
    </w:p>
    <w:p w:rsidR="00B71B3E" w:rsidRDefault="00B71B3E" w:rsidP="00B71B3E">
      <w:pPr>
        <w:spacing w:after="240" w:line="360" w:lineRule="auto"/>
        <w:ind w:firstLine="426"/>
      </w:pPr>
    </w:p>
    <w:p w:rsidR="00B71B3E" w:rsidRDefault="00B71B3E" w:rsidP="001F1CD2">
      <w:pPr>
        <w:spacing w:after="240" w:line="360" w:lineRule="auto"/>
        <w:rPr>
          <w:rFonts w:ascii="Times New Roman" w:hAnsi="Times New Roman"/>
          <w:b/>
          <w:noProof/>
          <w:sz w:val="40"/>
          <w:szCs w:val="40"/>
          <w:lang w:val="en-US" w:eastAsia="fr-BE"/>
        </w:rPr>
      </w:pPr>
    </w:p>
    <w:p w:rsidR="00B71B3E" w:rsidRPr="001F1CD2" w:rsidRDefault="00B71B3E" w:rsidP="001F1CD2">
      <w:pPr>
        <w:spacing w:after="240" w:line="360" w:lineRule="auto"/>
        <w:ind w:firstLine="426"/>
        <w:jc w:val="center"/>
        <w:rPr>
          <w:rFonts w:ascii="Times New Roman" w:hAnsi="Times New Roman"/>
          <w:b/>
          <w:noProof/>
          <w:sz w:val="40"/>
          <w:szCs w:val="40"/>
          <w:lang w:val="en-US" w:eastAsia="fr-BE"/>
        </w:rPr>
      </w:pPr>
      <w:r>
        <w:rPr>
          <w:rFonts w:ascii="Times New Roman" w:hAnsi="Times New Roman"/>
          <w:b/>
          <w:noProof/>
          <w:sz w:val="40"/>
          <w:szCs w:val="40"/>
          <w:lang w:val="en-US" w:eastAsia="fr-BE"/>
        </w:rPr>
        <w:t>Understanding a</w:t>
      </w:r>
      <w:r w:rsidR="001F1CD2">
        <w:rPr>
          <w:rFonts w:ascii="Times New Roman" w:hAnsi="Times New Roman"/>
          <w:b/>
          <w:noProof/>
          <w:sz w:val="40"/>
          <w:szCs w:val="40"/>
          <w:lang w:val="en-US" w:eastAsia="fr-BE"/>
        </w:rPr>
        <w:t>nd Information Failures in Insurance: Evidence from</w:t>
      </w:r>
      <w:r>
        <w:rPr>
          <w:rFonts w:ascii="Times New Roman" w:hAnsi="Times New Roman"/>
          <w:b/>
          <w:noProof/>
          <w:sz w:val="40"/>
          <w:szCs w:val="40"/>
          <w:lang w:val="en-US" w:eastAsia="fr-BE"/>
        </w:rPr>
        <w:t xml:space="preserve"> India</w:t>
      </w:r>
      <w:r w:rsidR="001259CA">
        <w:rPr>
          <w:rStyle w:val="Appelnotedebasdep"/>
          <w:rFonts w:ascii="Times New Roman" w:hAnsi="Times New Roman"/>
          <w:b/>
          <w:noProof/>
          <w:sz w:val="40"/>
          <w:szCs w:val="40"/>
          <w:lang w:val="en-US" w:eastAsia="fr-BE"/>
        </w:rPr>
        <w:footnoteReference w:customMarkFollows="1" w:id="1"/>
        <w:t>*</w:t>
      </w:r>
      <w:r w:rsidRPr="00E5049C">
        <w:rPr>
          <w:rFonts w:ascii="Times New Roman" w:hAnsi="Times New Roman"/>
          <w:b/>
          <w:noProof/>
          <w:sz w:val="40"/>
          <w:szCs w:val="40"/>
          <w:lang w:val="en-US" w:eastAsia="fr-BE"/>
        </w:rPr>
        <w:t xml:space="preserve"> </w:t>
      </w:r>
    </w:p>
    <w:p w:rsidR="00B71B3E" w:rsidRDefault="00B71B3E" w:rsidP="00B71B3E">
      <w:pPr>
        <w:spacing w:after="240" w:line="360" w:lineRule="auto"/>
        <w:ind w:firstLine="426"/>
        <w:rPr>
          <w:rFonts w:ascii="Times New Roman" w:hAnsi="Times New Roman"/>
          <w:lang w:val="en-GB"/>
        </w:rPr>
      </w:pPr>
    </w:p>
    <w:p w:rsidR="005A4F41" w:rsidRPr="00916EFC" w:rsidRDefault="005A4F41" w:rsidP="00B71B3E">
      <w:pPr>
        <w:spacing w:after="240" w:line="360" w:lineRule="auto"/>
        <w:ind w:firstLine="426"/>
        <w:rPr>
          <w:rFonts w:ascii="Times New Roman" w:hAnsi="Times New Roman"/>
          <w:lang w:val="en-GB"/>
        </w:rPr>
      </w:pPr>
    </w:p>
    <w:p w:rsidR="00B71B3E" w:rsidRPr="00CC2EDD" w:rsidRDefault="00B71B3E" w:rsidP="00B71B3E">
      <w:pPr>
        <w:spacing w:after="0" w:line="360" w:lineRule="auto"/>
        <w:ind w:firstLine="426"/>
        <w:jc w:val="center"/>
        <w:rPr>
          <w:rFonts w:ascii="Times New Roman" w:hAnsi="Times New Roman"/>
          <w:b/>
          <w:sz w:val="28"/>
          <w:szCs w:val="28"/>
        </w:rPr>
      </w:pPr>
      <w:r w:rsidRPr="00CC2EDD">
        <w:rPr>
          <w:rFonts w:ascii="Times New Roman" w:hAnsi="Times New Roman"/>
          <w:b/>
          <w:sz w:val="28"/>
          <w:szCs w:val="28"/>
        </w:rPr>
        <w:t>Jean Philippe Platteau</w:t>
      </w:r>
      <w:r w:rsidR="004F304C">
        <w:rPr>
          <w:rStyle w:val="Appelnotedebasdep"/>
          <w:rFonts w:ascii="Times New Roman" w:hAnsi="Times New Roman"/>
          <w:b/>
          <w:sz w:val="28"/>
          <w:szCs w:val="28"/>
        </w:rPr>
        <w:footnoteReference w:customMarkFollows="1" w:id="2"/>
        <w:t>**</w:t>
      </w:r>
      <w:r w:rsidRPr="00CC2EDD">
        <w:rPr>
          <w:rFonts w:ascii="Times New Roman" w:hAnsi="Times New Roman"/>
          <w:b/>
          <w:sz w:val="28"/>
          <w:szCs w:val="28"/>
        </w:rPr>
        <w:t xml:space="preserve"> and Darwin Ugarte Ontiveros</w:t>
      </w:r>
      <w:r w:rsidR="004F304C">
        <w:rPr>
          <w:rStyle w:val="Appelnotedebasdep"/>
          <w:rFonts w:ascii="Times New Roman" w:hAnsi="Times New Roman"/>
          <w:b/>
          <w:sz w:val="28"/>
          <w:szCs w:val="28"/>
        </w:rPr>
        <w:footnoteReference w:customMarkFollows="1" w:id="3"/>
        <w:t>***</w:t>
      </w:r>
    </w:p>
    <w:p w:rsidR="00B71B3E" w:rsidRPr="00916EFC" w:rsidRDefault="00B71B3E" w:rsidP="00B71B3E">
      <w:pPr>
        <w:spacing w:after="0" w:line="360" w:lineRule="auto"/>
        <w:ind w:firstLine="426"/>
        <w:jc w:val="center"/>
        <w:rPr>
          <w:rFonts w:ascii="Times New Roman" w:hAnsi="Times New Roman"/>
          <w:sz w:val="32"/>
          <w:szCs w:val="32"/>
        </w:rPr>
      </w:pPr>
    </w:p>
    <w:p w:rsidR="00B71B3E" w:rsidRPr="00916EFC" w:rsidRDefault="00B71B3E" w:rsidP="00B71B3E">
      <w:pPr>
        <w:spacing w:after="0" w:line="360" w:lineRule="auto"/>
        <w:ind w:firstLine="426"/>
        <w:jc w:val="center"/>
        <w:rPr>
          <w:rFonts w:ascii="Times New Roman" w:hAnsi="Times New Roman"/>
          <w:sz w:val="32"/>
          <w:szCs w:val="32"/>
        </w:rPr>
      </w:pPr>
    </w:p>
    <w:p w:rsidR="00B71B3E" w:rsidRDefault="00FD0A1B" w:rsidP="00FD0A1B">
      <w:pPr>
        <w:spacing w:after="0" w:line="360" w:lineRule="auto"/>
        <w:ind w:firstLine="426"/>
        <w:jc w:val="center"/>
        <w:rPr>
          <w:rFonts w:ascii="Times New Roman" w:hAnsi="Times New Roman"/>
          <w:sz w:val="28"/>
          <w:szCs w:val="28"/>
          <w:lang w:val="en-US"/>
        </w:rPr>
      </w:pPr>
      <w:r>
        <w:rPr>
          <w:rFonts w:ascii="Times New Roman" w:hAnsi="Times New Roman"/>
          <w:sz w:val="28"/>
          <w:szCs w:val="28"/>
          <w:lang w:val="en-US"/>
        </w:rPr>
        <w:t xml:space="preserve">University of Namur (CRED, </w:t>
      </w:r>
      <w:r w:rsidRPr="00CC2EDD">
        <w:rPr>
          <w:rFonts w:ascii="Times New Roman" w:hAnsi="Times New Roman"/>
          <w:sz w:val="28"/>
          <w:szCs w:val="28"/>
          <w:lang w:val="en-US"/>
        </w:rPr>
        <w:t>Centre for Resear</w:t>
      </w:r>
      <w:r>
        <w:rPr>
          <w:rFonts w:ascii="Times New Roman" w:hAnsi="Times New Roman"/>
          <w:sz w:val="28"/>
          <w:szCs w:val="28"/>
          <w:lang w:val="en-US"/>
        </w:rPr>
        <w:t>ch in Economic Development</w:t>
      </w:r>
      <w:r w:rsidRPr="00CC2EDD">
        <w:rPr>
          <w:rFonts w:ascii="Times New Roman" w:hAnsi="Times New Roman"/>
          <w:sz w:val="28"/>
          <w:szCs w:val="28"/>
          <w:lang w:val="en-US"/>
        </w:rPr>
        <w:t>)</w:t>
      </w:r>
    </w:p>
    <w:p w:rsidR="00FD0A1B" w:rsidRPr="00CC2EDD" w:rsidRDefault="00FD0A1B" w:rsidP="00B71B3E">
      <w:pPr>
        <w:spacing w:after="0" w:line="360" w:lineRule="auto"/>
        <w:ind w:firstLine="426"/>
        <w:jc w:val="center"/>
        <w:rPr>
          <w:sz w:val="28"/>
          <w:szCs w:val="28"/>
          <w:lang w:val="en-US"/>
        </w:rPr>
      </w:pPr>
      <w:r>
        <w:rPr>
          <w:rFonts w:ascii="Times New Roman" w:hAnsi="Times New Roman"/>
          <w:sz w:val="28"/>
          <w:szCs w:val="28"/>
          <w:lang w:val="en-US"/>
        </w:rPr>
        <w:t>and University of Oxford</w:t>
      </w:r>
    </w:p>
    <w:p w:rsidR="005A4F41" w:rsidRPr="00324BB7" w:rsidRDefault="005A4F41" w:rsidP="00D249A0">
      <w:pPr>
        <w:spacing w:after="0" w:line="360" w:lineRule="auto"/>
        <w:rPr>
          <w:sz w:val="32"/>
          <w:szCs w:val="32"/>
          <w:lang w:val="en-US"/>
        </w:rPr>
      </w:pPr>
    </w:p>
    <w:p w:rsidR="00B71B3E" w:rsidRPr="00CC2EDD" w:rsidRDefault="00D249A0" w:rsidP="001F1CD2">
      <w:pPr>
        <w:spacing w:after="240" w:line="360" w:lineRule="auto"/>
        <w:jc w:val="center"/>
        <w:rPr>
          <w:rFonts w:ascii="Times New Roman" w:hAnsi="Times New Roman"/>
          <w:sz w:val="28"/>
          <w:szCs w:val="28"/>
          <w:lang w:val="en-GB"/>
        </w:rPr>
      </w:pPr>
      <w:r>
        <w:rPr>
          <w:rFonts w:ascii="Times New Roman" w:hAnsi="Times New Roman"/>
          <w:sz w:val="28"/>
          <w:szCs w:val="28"/>
          <w:lang w:val="en-GB"/>
        </w:rPr>
        <w:t>June</w:t>
      </w:r>
      <w:r w:rsidR="00B71B3E" w:rsidRPr="00CC2EDD">
        <w:rPr>
          <w:rFonts w:ascii="Times New Roman" w:hAnsi="Times New Roman"/>
          <w:sz w:val="28"/>
          <w:szCs w:val="28"/>
          <w:lang w:val="en-GB"/>
        </w:rPr>
        <w:t xml:space="preserve"> 2013</w:t>
      </w:r>
    </w:p>
    <w:p w:rsidR="00B71B3E" w:rsidRPr="00916EFC" w:rsidRDefault="00B71B3E" w:rsidP="00B71B3E">
      <w:pPr>
        <w:spacing w:after="240" w:line="360" w:lineRule="auto"/>
        <w:ind w:firstLine="426"/>
        <w:rPr>
          <w:rFonts w:ascii="Times New Roman" w:hAnsi="Times New Roman"/>
          <w:lang w:val="en-US"/>
        </w:rPr>
        <w:sectPr w:rsidR="00B71B3E" w:rsidRPr="00916EFC" w:rsidSect="00B71B3E">
          <w:footerReference w:type="even" r:id="rId8"/>
          <w:footerReference w:type="default" r:id="rId9"/>
          <w:footnotePr>
            <w:numFmt w:val="chicago"/>
          </w:footnotePr>
          <w:pgSz w:w="11906" w:h="16838"/>
          <w:pgMar w:top="1417" w:right="1417" w:bottom="1417" w:left="1417" w:header="708" w:footer="708" w:gutter="0"/>
          <w:pgNumType w:start="0"/>
          <w:cols w:space="708"/>
          <w:titlePg/>
          <w:docGrid w:linePitch="360"/>
        </w:sectPr>
      </w:pPr>
    </w:p>
    <w:p w:rsidR="00B71B3E" w:rsidRDefault="00B71B3E" w:rsidP="00B71B3E">
      <w:pPr>
        <w:spacing w:after="240" w:line="360" w:lineRule="auto"/>
        <w:ind w:firstLine="426"/>
        <w:rPr>
          <w:rFonts w:ascii="Times New Roman" w:hAnsi="Times New Roman"/>
          <w:b/>
          <w:noProof/>
          <w:sz w:val="24"/>
          <w:szCs w:val="24"/>
          <w:lang w:val="en-US" w:eastAsia="fr-BE"/>
        </w:rPr>
      </w:pPr>
      <w:r>
        <w:rPr>
          <w:rFonts w:ascii="Times New Roman" w:hAnsi="Times New Roman"/>
          <w:b/>
          <w:noProof/>
          <w:sz w:val="24"/>
          <w:szCs w:val="24"/>
          <w:lang w:val="en-US" w:eastAsia="fr-BE"/>
        </w:rPr>
        <w:lastRenderedPageBreak/>
        <w:t>Abstract</w:t>
      </w:r>
    </w:p>
    <w:p w:rsidR="00D10FB0" w:rsidRDefault="008302E5" w:rsidP="00D10FB0">
      <w:pPr>
        <w:spacing w:after="240" w:line="240" w:lineRule="auto"/>
        <w:ind w:firstLine="426"/>
        <w:jc w:val="both"/>
        <w:rPr>
          <w:rFonts w:ascii="Times New Roman" w:hAnsi="Times New Roman"/>
          <w:i/>
          <w:sz w:val="24"/>
          <w:szCs w:val="24"/>
          <w:lang w:val="en-US"/>
        </w:rPr>
      </w:pPr>
      <w:r>
        <w:rPr>
          <w:rFonts w:ascii="Times New Roman" w:hAnsi="Times New Roman"/>
          <w:i/>
          <w:sz w:val="24"/>
          <w:szCs w:val="24"/>
          <w:lang w:val="en-US"/>
        </w:rPr>
        <w:t>T</w:t>
      </w:r>
      <w:r w:rsidR="00B71B3E" w:rsidRPr="001E5551">
        <w:rPr>
          <w:rFonts w:ascii="Times New Roman" w:hAnsi="Times New Roman"/>
          <w:i/>
          <w:sz w:val="24"/>
          <w:szCs w:val="24"/>
          <w:lang w:val="en-US"/>
        </w:rPr>
        <w:t xml:space="preserve">his paper is </w:t>
      </w:r>
      <w:r>
        <w:rPr>
          <w:rFonts w:ascii="Times New Roman" w:hAnsi="Times New Roman"/>
          <w:i/>
          <w:sz w:val="24"/>
          <w:szCs w:val="24"/>
          <w:lang w:val="en-US"/>
        </w:rPr>
        <w:t>an attempt to understand the factor</w:t>
      </w:r>
      <w:r w:rsidR="002225CB">
        <w:rPr>
          <w:rFonts w:ascii="Times New Roman" w:hAnsi="Times New Roman"/>
          <w:i/>
          <w:sz w:val="24"/>
          <w:szCs w:val="24"/>
          <w:lang w:val="en-US"/>
        </w:rPr>
        <w:t>s behind low contract renewal rates</w:t>
      </w:r>
      <w:r>
        <w:rPr>
          <w:rFonts w:ascii="Times New Roman" w:hAnsi="Times New Roman"/>
          <w:i/>
          <w:sz w:val="24"/>
          <w:szCs w:val="24"/>
          <w:lang w:val="en-US"/>
        </w:rPr>
        <w:t xml:space="preserve"> frequently observed in insurance programs in poor countries. This is done on the basis of the experience of </w:t>
      </w:r>
      <w:r w:rsidR="00B71B3E" w:rsidRPr="001E5551">
        <w:rPr>
          <w:rFonts w:ascii="Times New Roman" w:hAnsi="Times New Roman"/>
          <w:i/>
          <w:sz w:val="24"/>
          <w:szCs w:val="24"/>
          <w:lang w:val="en-US"/>
        </w:rPr>
        <w:t xml:space="preserve">a </w:t>
      </w:r>
      <w:r w:rsidR="00974D6A">
        <w:rPr>
          <w:rFonts w:ascii="Times New Roman" w:hAnsi="Times New Roman"/>
          <w:i/>
          <w:sz w:val="24"/>
          <w:szCs w:val="24"/>
          <w:lang w:val="en-US"/>
        </w:rPr>
        <w:t>microinsurance</w:t>
      </w:r>
      <w:r w:rsidR="00B71B3E" w:rsidRPr="001E5551">
        <w:rPr>
          <w:rFonts w:ascii="Times New Roman" w:hAnsi="Times New Roman"/>
          <w:i/>
          <w:sz w:val="24"/>
          <w:szCs w:val="24"/>
          <w:lang w:val="en-US"/>
        </w:rPr>
        <w:t xml:space="preserve"> health program in India</w:t>
      </w:r>
      <w:r>
        <w:rPr>
          <w:rFonts w:ascii="Times New Roman" w:hAnsi="Times New Roman"/>
          <w:i/>
          <w:sz w:val="24"/>
          <w:szCs w:val="24"/>
          <w:lang w:val="en-US"/>
        </w:rPr>
        <w:t>.</w:t>
      </w:r>
      <w:r w:rsidR="00B71B3E" w:rsidRPr="001E5551">
        <w:rPr>
          <w:rFonts w:ascii="Times New Roman" w:hAnsi="Times New Roman"/>
          <w:i/>
          <w:sz w:val="24"/>
          <w:szCs w:val="24"/>
          <w:lang w:val="en-US"/>
        </w:rPr>
        <w:t xml:space="preserve"> </w:t>
      </w:r>
      <w:r w:rsidR="00B71B3E">
        <w:rPr>
          <w:rFonts w:ascii="Times New Roman" w:hAnsi="Times New Roman"/>
          <w:i/>
          <w:sz w:val="24"/>
          <w:szCs w:val="24"/>
          <w:lang w:val="en-US"/>
        </w:rPr>
        <w:t>We show that d</w:t>
      </w:r>
      <w:r w:rsidR="00B71B3E" w:rsidRPr="001E5551">
        <w:rPr>
          <w:rFonts w:ascii="Times New Roman" w:hAnsi="Times New Roman"/>
          <w:i/>
          <w:sz w:val="24"/>
          <w:szCs w:val="24"/>
          <w:lang w:val="en-US"/>
        </w:rPr>
        <w:t>eficient information about the insurance product and the functioning of the scheme</w:t>
      </w:r>
      <w:r w:rsidR="00826B18">
        <w:rPr>
          <w:rFonts w:ascii="Times New Roman" w:hAnsi="Times New Roman"/>
          <w:i/>
          <w:sz w:val="24"/>
          <w:szCs w:val="24"/>
          <w:lang w:val="en-US"/>
        </w:rPr>
        <w:t>,</w:t>
      </w:r>
      <w:r w:rsidR="00D249A0">
        <w:rPr>
          <w:rFonts w:ascii="Times New Roman" w:hAnsi="Times New Roman"/>
          <w:i/>
          <w:sz w:val="24"/>
          <w:szCs w:val="24"/>
          <w:lang w:val="en-US"/>
        </w:rPr>
        <w:t xml:space="preserve"> </w:t>
      </w:r>
      <w:r w:rsidR="002225CB">
        <w:rPr>
          <w:rFonts w:ascii="Times New Roman" w:hAnsi="Times New Roman"/>
          <w:i/>
          <w:sz w:val="24"/>
          <w:szCs w:val="24"/>
          <w:lang w:val="en-US"/>
        </w:rPr>
        <w:t xml:space="preserve">and </w:t>
      </w:r>
      <w:r w:rsidR="00B71B3E" w:rsidRPr="001E5551">
        <w:rPr>
          <w:rFonts w:ascii="Times New Roman" w:hAnsi="Times New Roman"/>
          <w:i/>
          <w:sz w:val="24"/>
          <w:szCs w:val="24"/>
          <w:lang w:val="en-US"/>
        </w:rPr>
        <w:t>poor understa</w:t>
      </w:r>
      <w:r w:rsidR="00D249A0">
        <w:rPr>
          <w:rFonts w:ascii="Times New Roman" w:hAnsi="Times New Roman"/>
          <w:i/>
          <w:sz w:val="24"/>
          <w:szCs w:val="24"/>
          <w:lang w:val="en-US"/>
        </w:rPr>
        <w:t>nding of the insurance concept</w:t>
      </w:r>
      <w:r w:rsidR="00B71B3E" w:rsidRPr="001E5551">
        <w:rPr>
          <w:rFonts w:ascii="Times New Roman" w:hAnsi="Times New Roman"/>
          <w:i/>
          <w:sz w:val="24"/>
          <w:szCs w:val="24"/>
          <w:lang w:val="en-US"/>
        </w:rPr>
        <w:t xml:space="preserve"> </w:t>
      </w:r>
      <w:r w:rsidR="00826B18">
        <w:rPr>
          <w:rFonts w:ascii="Times New Roman" w:hAnsi="Times New Roman"/>
          <w:i/>
          <w:sz w:val="24"/>
          <w:szCs w:val="24"/>
          <w:lang w:val="en-US"/>
        </w:rPr>
        <w:t>are the major causes of the low contract renewal ra</w:t>
      </w:r>
      <w:r w:rsidR="00D249A0">
        <w:rPr>
          <w:rFonts w:ascii="Times New Roman" w:hAnsi="Times New Roman"/>
          <w:i/>
          <w:sz w:val="24"/>
          <w:szCs w:val="24"/>
          <w:lang w:val="en-US"/>
        </w:rPr>
        <w:t>te among households which had</w:t>
      </w:r>
      <w:r w:rsidR="00826B18">
        <w:rPr>
          <w:rFonts w:ascii="Times New Roman" w:hAnsi="Times New Roman"/>
          <w:i/>
          <w:sz w:val="24"/>
          <w:szCs w:val="24"/>
          <w:lang w:val="en-US"/>
        </w:rPr>
        <w:t xml:space="preserve"> previously enrolled into the pro</w:t>
      </w:r>
      <w:r w:rsidR="00D249A0">
        <w:rPr>
          <w:rFonts w:ascii="Times New Roman" w:hAnsi="Times New Roman"/>
          <w:i/>
          <w:sz w:val="24"/>
          <w:szCs w:val="24"/>
          <w:lang w:val="en-US"/>
        </w:rPr>
        <w:t xml:space="preserve">gram. A central  </w:t>
      </w:r>
      <w:r w:rsidR="00826B18">
        <w:rPr>
          <w:rFonts w:ascii="Times New Roman" w:hAnsi="Times New Roman"/>
          <w:i/>
          <w:sz w:val="24"/>
          <w:szCs w:val="24"/>
          <w:lang w:val="en-US"/>
        </w:rPr>
        <w:t>finding is that, when</w:t>
      </w:r>
      <w:r w:rsidR="00081E9F">
        <w:rPr>
          <w:rFonts w:ascii="Times New Roman" w:hAnsi="Times New Roman"/>
          <w:i/>
          <w:sz w:val="24"/>
          <w:szCs w:val="24"/>
          <w:lang w:val="en-US"/>
        </w:rPr>
        <w:t xml:space="preserve"> a</w:t>
      </w:r>
      <w:r w:rsidR="00826B18">
        <w:rPr>
          <w:rFonts w:ascii="Times New Roman" w:hAnsi="Times New Roman"/>
          <w:i/>
          <w:sz w:val="24"/>
          <w:szCs w:val="24"/>
          <w:lang w:val="en-US"/>
        </w:rPr>
        <w:t xml:space="preserve"> </w:t>
      </w:r>
      <w:r w:rsidR="00B71B3E" w:rsidRPr="001E5551">
        <w:rPr>
          <w:rFonts w:ascii="Times New Roman" w:hAnsi="Times New Roman"/>
          <w:i/>
          <w:sz w:val="24"/>
          <w:szCs w:val="24"/>
          <w:lang w:val="en-US"/>
        </w:rPr>
        <w:t xml:space="preserve">household </w:t>
      </w:r>
      <w:r w:rsidR="00081E9F">
        <w:rPr>
          <w:rFonts w:ascii="Times New Roman" w:hAnsi="Times New Roman"/>
          <w:i/>
          <w:sz w:val="24"/>
          <w:szCs w:val="24"/>
          <w:lang w:val="en-US"/>
        </w:rPr>
        <w:t xml:space="preserve">has received a </w:t>
      </w:r>
      <w:r w:rsidR="00F51071">
        <w:rPr>
          <w:rFonts w:ascii="Times New Roman" w:hAnsi="Times New Roman"/>
          <w:i/>
          <w:sz w:val="24"/>
          <w:szCs w:val="24"/>
          <w:lang w:val="en-US"/>
        </w:rPr>
        <w:t xml:space="preserve">large </w:t>
      </w:r>
      <w:r w:rsidR="00081E9F">
        <w:rPr>
          <w:rFonts w:ascii="Times New Roman" w:hAnsi="Times New Roman"/>
          <w:i/>
          <w:sz w:val="24"/>
          <w:szCs w:val="24"/>
          <w:lang w:val="en-US"/>
        </w:rPr>
        <w:t>negative payout during the preceding ye</w:t>
      </w:r>
      <w:r w:rsidR="00D249A0">
        <w:rPr>
          <w:rFonts w:ascii="Times New Roman" w:hAnsi="Times New Roman"/>
          <w:i/>
          <w:sz w:val="24"/>
          <w:szCs w:val="24"/>
          <w:lang w:val="en-US"/>
        </w:rPr>
        <w:t>ar</w:t>
      </w:r>
      <w:r w:rsidR="00081E9F">
        <w:rPr>
          <w:rFonts w:ascii="Times New Roman" w:hAnsi="Times New Roman"/>
          <w:i/>
          <w:sz w:val="24"/>
          <w:szCs w:val="24"/>
          <w:lang w:val="en-US"/>
        </w:rPr>
        <w:t xml:space="preserve">, it </w:t>
      </w:r>
      <w:r w:rsidR="00B71B3E" w:rsidRPr="001E5551">
        <w:rPr>
          <w:rFonts w:ascii="Times New Roman" w:hAnsi="Times New Roman"/>
          <w:i/>
          <w:sz w:val="24"/>
          <w:szCs w:val="24"/>
          <w:lang w:val="en-US"/>
        </w:rPr>
        <w:t xml:space="preserve">is </w:t>
      </w:r>
      <w:r w:rsidR="00746897">
        <w:rPr>
          <w:rFonts w:ascii="Times New Roman" w:hAnsi="Times New Roman"/>
          <w:i/>
          <w:sz w:val="24"/>
          <w:szCs w:val="24"/>
          <w:lang w:val="en-US"/>
        </w:rPr>
        <w:t>more inclined</w:t>
      </w:r>
      <w:r w:rsidR="00D249A0">
        <w:rPr>
          <w:rFonts w:ascii="Times New Roman" w:hAnsi="Times New Roman"/>
          <w:i/>
          <w:sz w:val="24"/>
          <w:szCs w:val="24"/>
          <w:lang w:val="en-US"/>
        </w:rPr>
        <w:t xml:space="preserve"> to opt out of the program unless it has a good understanding of what insurance means</w:t>
      </w:r>
      <w:r w:rsidR="00B71B3E" w:rsidRPr="001E5551">
        <w:rPr>
          <w:rFonts w:ascii="Times New Roman" w:hAnsi="Times New Roman"/>
          <w:i/>
          <w:sz w:val="24"/>
          <w:szCs w:val="24"/>
          <w:lang w:val="en-US"/>
        </w:rPr>
        <w:t xml:space="preserve">. </w:t>
      </w:r>
      <w:r w:rsidR="00D249A0">
        <w:rPr>
          <w:rFonts w:ascii="Times New Roman" w:hAnsi="Times New Roman"/>
          <w:i/>
          <w:sz w:val="24"/>
          <w:szCs w:val="24"/>
          <w:lang w:val="en-US"/>
        </w:rPr>
        <w:t>In other words, the adverse impact of negative insurance payouts on contract renewal is conditional upon the presence of a cognitive bias which violates the expected utility theory. Moreover, trust in the insurance company has a significant positive effect</w:t>
      </w:r>
      <w:r w:rsidR="003702E1">
        <w:rPr>
          <w:rFonts w:ascii="Times New Roman" w:hAnsi="Times New Roman"/>
          <w:i/>
          <w:sz w:val="24"/>
          <w:szCs w:val="24"/>
          <w:lang w:val="en-US"/>
        </w:rPr>
        <w:t>, yet that effect cannot be disentangled from that of understanding ability.</w:t>
      </w:r>
      <w:r w:rsidR="00D249A0">
        <w:rPr>
          <w:rFonts w:ascii="Times New Roman" w:hAnsi="Times New Roman"/>
          <w:i/>
          <w:sz w:val="24"/>
          <w:szCs w:val="24"/>
          <w:lang w:val="en-US"/>
        </w:rPr>
        <w:t xml:space="preserve"> </w:t>
      </w:r>
    </w:p>
    <w:p w:rsidR="00B71B3E" w:rsidRPr="00EF6955" w:rsidRDefault="00B71B3E" w:rsidP="00D10FB0">
      <w:pPr>
        <w:spacing w:after="240" w:line="240" w:lineRule="auto"/>
        <w:ind w:firstLine="426"/>
        <w:jc w:val="both"/>
        <w:rPr>
          <w:rFonts w:ascii="Times New Roman" w:hAnsi="Times New Roman"/>
          <w:b/>
          <w:sz w:val="28"/>
          <w:szCs w:val="28"/>
          <w:lang w:val="en-US" w:eastAsia="fr-BE"/>
        </w:rPr>
      </w:pPr>
      <w:r>
        <w:rPr>
          <w:rFonts w:ascii="Times New Roman" w:hAnsi="Times New Roman"/>
          <w:sz w:val="24"/>
          <w:szCs w:val="24"/>
          <w:lang w:val="en-US" w:eastAsia="fr-BE"/>
        </w:rPr>
        <w:br w:type="page"/>
      </w:r>
      <w:r w:rsidRPr="00EF6955">
        <w:rPr>
          <w:rFonts w:ascii="Times New Roman" w:hAnsi="Times New Roman"/>
          <w:b/>
          <w:sz w:val="28"/>
          <w:szCs w:val="28"/>
          <w:lang w:val="en-US" w:eastAsia="fr-BE"/>
        </w:rPr>
        <w:lastRenderedPageBreak/>
        <w:t>Introduction</w:t>
      </w:r>
    </w:p>
    <w:p w:rsidR="005D6D50" w:rsidRDefault="000C3E68" w:rsidP="00380B01">
      <w:pPr>
        <w:spacing w:after="240" w:line="360" w:lineRule="auto"/>
        <w:ind w:firstLine="426"/>
        <w:jc w:val="both"/>
        <w:rPr>
          <w:rFonts w:ascii="Times New Roman" w:hAnsi="Times New Roman"/>
          <w:sz w:val="24"/>
          <w:szCs w:val="24"/>
          <w:lang w:val="en-US" w:eastAsia="fr-BE"/>
        </w:rPr>
      </w:pPr>
      <w:r w:rsidRPr="00E3709D">
        <w:rPr>
          <w:rFonts w:ascii="Times New Roman" w:hAnsi="Times New Roman"/>
          <w:sz w:val="24"/>
          <w:szCs w:val="24"/>
          <w:lang w:val="en-US" w:eastAsia="fr-BE"/>
        </w:rPr>
        <w:t>In developing countries, many low income individuals cannot afford medical treatments, or finance the</w:t>
      </w:r>
      <w:r>
        <w:rPr>
          <w:rFonts w:ascii="Times New Roman" w:hAnsi="Times New Roman"/>
          <w:sz w:val="24"/>
          <w:szCs w:val="24"/>
          <w:lang w:val="en-US" w:eastAsia="fr-BE"/>
        </w:rPr>
        <w:t xml:space="preserve"> purchase of medicines.</w:t>
      </w:r>
      <w:r w:rsidRPr="00E3709D">
        <w:rPr>
          <w:rFonts w:ascii="Times New Roman" w:hAnsi="Times New Roman"/>
          <w:sz w:val="24"/>
          <w:szCs w:val="24"/>
          <w:lang w:val="en-US" w:eastAsia="fr-BE"/>
        </w:rPr>
        <w:t xml:space="preserve"> </w:t>
      </w:r>
      <w:r>
        <w:rPr>
          <w:rFonts w:ascii="Times New Roman" w:hAnsi="Times New Roman"/>
          <w:sz w:val="24"/>
          <w:szCs w:val="24"/>
          <w:lang w:val="en-US" w:eastAsia="fr-BE"/>
        </w:rPr>
        <w:t>Therefore, health shocks</w:t>
      </w:r>
      <w:r w:rsidR="00B71B3E" w:rsidRPr="00E3709D">
        <w:rPr>
          <w:rFonts w:ascii="Times New Roman" w:hAnsi="Times New Roman"/>
          <w:sz w:val="24"/>
          <w:szCs w:val="24"/>
          <w:lang w:val="en-US" w:eastAsia="fr-BE"/>
        </w:rPr>
        <w:t xml:space="preserve"> dangerous</w:t>
      </w:r>
      <w:r>
        <w:rPr>
          <w:rFonts w:ascii="Times New Roman" w:hAnsi="Times New Roman"/>
          <w:sz w:val="24"/>
          <w:szCs w:val="24"/>
          <w:lang w:val="en-US" w:eastAsia="fr-BE"/>
        </w:rPr>
        <w:t>ly</w:t>
      </w:r>
      <w:r w:rsidR="00B71B3E" w:rsidRPr="00E3709D">
        <w:rPr>
          <w:rFonts w:ascii="Times New Roman" w:hAnsi="Times New Roman"/>
          <w:sz w:val="24"/>
          <w:szCs w:val="24"/>
          <w:lang w:val="en-US" w:eastAsia="fr-BE"/>
        </w:rPr>
        <w:t xml:space="preserve"> thre</w:t>
      </w:r>
      <w:r>
        <w:rPr>
          <w:rFonts w:ascii="Times New Roman" w:hAnsi="Times New Roman"/>
          <w:sz w:val="24"/>
          <w:szCs w:val="24"/>
          <w:lang w:val="en-US" w:eastAsia="fr-BE"/>
        </w:rPr>
        <w:t>aten their lives and are actually among the most important sources of risk</w:t>
      </w:r>
      <w:r w:rsidR="00FE3339">
        <w:rPr>
          <w:rFonts w:ascii="Times New Roman" w:hAnsi="Times New Roman"/>
          <w:sz w:val="24"/>
          <w:szCs w:val="24"/>
          <w:lang w:val="en-US" w:eastAsia="fr-BE"/>
        </w:rPr>
        <w:t xml:space="preserve"> confronting them</w:t>
      </w:r>
      <w:r w:rsidR="001A2280">
        <w:rPr>
          <w:rFonts w:ascii="Times New Roman" w:hAnsi="Times New Roman"/>
          <w:sz w:val="24"/>
          <w:szCs w:val="24"/>
          <w:lang w:val="en-US" w:eastAsia="fr-BE"/>
        </w:rPr>
        <w:t>. Adverse effects</w:t>
      </w:r>
      <w:r>
        <w:rPr>
          <w:rFonts w:ascii="Times New Roman" w:hAnsi="Times New Roman"/>
          <w:sz w:val="24"/>
          <w:szCs w:val="24"/>
          <w:lang w:val="en-US" w:eastAsia="fr-BE"/>
        </w:rPr>
        <w:t xml:space="preserve"> on</w:t>
      </w:r>
      <w:r w:rsidR="001A2280">
        <w:rPr>
          <w:rFonts w:ascii="Times New Roman" w:hAnsi="Times New Roman"/>
          <w:sz w:val="24"/>
          <w:szCs w:val="24"/>
          <w:lang w:val="en-US" w:eastAsia="fr-BE"/>
        </w:rPr>
        <w:t xml:space="preserve"> their</w:t>
      </w:r>
      <w:r>
        <w:rPr>
          <w:rFonts w:ascii="Times New Roman" w:hAnsi="Times New Roman"/>
          <w:sz w:val="24"/>
          <w:szCs w:val="24"/>
          <w:lang w:val="en-US" w:eastAsia="fr-BE"/>
        </w:rPr>
        <w:t xml:space="preserve"> consumption, productivity and</w:t>
      </w:r>
      <w:r w:rsidR="001A2280">
        <w:rPr>
          <w:rFonts w:ascii="Times New Roman" w:hAnsi="Times New Roman"/>
          <w:sz w:val="24"/>
          <w:szCs w:val="24"/>
          <w:lang w:val="en-US" w:eastAsia="fr-BE"/>
        </w:rPr>
        <w:t xml:space="preserve"> human capital have been well documented</w:t>
      </w:r>
      <w:r w:rsidR="002F0474">
        <w:rPr>
          <w:rFonts w:ascii="Times New Roman" w:hAnsi="Times New Roman"/>
          <w:sz w:val="24"/>
          <w:szCs w:val="24"/>
          <w:lang w:val="en-US" w:eastAsia="fr-BE"/>
        </w:rPr>
        <w:t xml:space="preserve"> in the literature and they reinforce the case for universal health coverage</w:t>
      </w:r>
      <w:r w:rsidR="009468BF">
        <w:rPr>
          <w:rFonts w:ascii="Times New Roman" w:hAnsi="Times New Roman"/>
          <w:sz w:val="24"/>
          <w:szCs w:val="24"/>
          <w:lang w:val="en-US" w:eastAsia="fr-BE"/>
        </w:rPr>
        <w:t xml:space="preserve"> (</w:t>
      </w:r>
      <w:r w:rsidR="00010642">
        <w:rPr>
          <w:rFonts w:ascii="Times New Roman" w:hAnsi="Times New Roman"/>
          <w:sz w:val="24"/>
          <w:szCs w:val="24"/>
          <w:lang w:val="en-US" w:eastAsia="fr-BE"/>
        </w:rPr>
        <w:t xml:space="preserve">Gertler and Gruber, 2002; </w:t>
      </w:r>
      <w:r w:rsidR="003573BD">
        <w:rPr>
          <w:rFonts w:ascii="Times New Roman" w:hAnsi="Times New Roman"/>
          <w:sz w:val="24"/>
          <w:szCs w:val="24"/>
          <w:lang w:val="en-US" w:eastAsia="fr-BE"/>
        </w:rPr>
        <w:t xml:space="preserve">Jutting, 2003; </w:t>
      </w:r>
      <w:r w:rsidR="00010642">
        <w:rPr>
          <w:rFonts w:ascii="Times New Roman" w:hAnsi="Times New Roman"/>
          <w:sz w:val="24"/>
          <w:szCs w:val="24"/>
          <w:lang w:val="en-US" w:eastAsia="fr-BE"/>
        </w:rPr>
        <w:t>Dercon and Hoddinot</w:t>
      </w:r>
      <w:r w:rsidR="003573BD">
        <w:rPr>
          <w:rFonts w:ascii="Times New Roman" w:hAnsi="Times New Roman"/>
          <w:sz w:val="24"/>
          <w:szCs w:val="24"/>
          <w:lang w:val="en-US" w:eastAsia="fr-BE"/>
        </w:rPr>
        <w:t>t</w:t>
      </w:r>
      <w:r w:rsidR="00010642">
        <w:rPr>
          <w:rFonts w:ascii="Times New Roman" w:hAnsi="Times New Roman"/>
          <w:sz w:val="24"/>
          <w:szCs w:val="24"/>
          <w:lang w:val="en-US" w:eastAsia="fr-BE"/>
        </w:rPr>
        <w:t xml:space="preserve">, 2004; </w:t>
      </w:r>
      <w:r w:rsidR="009468BF">
        <w:rPr>
          <w:rFonts w:ascii="Times New Roman" w:hAnsi="Times New Roman"/>
          <w:sz w:val="24"/>
          <w:szCs w:val="24"/>
          <w:lang w:val="en-US" w:eastAsia="fr-BE"/>
        </w:rPr>
        <w:t xml:space="preserve">Leatherman et </w:t>
      </w:r>
      <w:r w:rsidR="00B71B3E">
        <w:rPr>
          <w:rFonts w:ascii="Times New Roman" w:hAnsi="Times New Roman"/>
          <w:sz w:val="24"/>
          <w:szCs w:val="24"/>
          <w:lang w:val="en-US" w:eastAsia="fr-BE"/>
        </w:rPr>
        <w:t>al., 2010). Because</w:t>
      </w:r>
      <w:r w:rsidR="00B71B3E" w:rsidRPr="00E3709D">
        <w:rPr>
          <w:rFonts w:ascii="Times New Roman" w:hAnsi="Times New Roman"/>
          <w:sz w:val="24"/>
          <w:szCs w:val="24"/>
          <w:lang w:val="en-US" w:eastAsia="fr-BE"/>
        </w:rPr>
        <w:t xml:space="preserve"> </w:t>
      </w:r>
      <w:r w:rsidR="00B71B3E">
        <w:rPr>
          <w:rFonts w:ascii="Times New Roman" w:hAnsi="Times New Roman"/>
          <w:sz w:val="24"/>
          <w:szCs w:val="24"/>
          <w:lang w:val="en-US" w:eastAsia="fr-BE"/>
        </w:rPr>
        <w:t>g</w:t>
      </w:r>
      <w:r w:rsidR="00B71B3E" w:rsidRPr="00E3709D">
        <w:rPr>
          <w:rFonts w:ascii="Times New Roman" w:hAnsi="Times New Roman"/>
          <w:sz w:val="24"/>
          <w:szCs w:val="24"/>
          <w:lang w:val="en-US" w:eastAsia="fr-BE"/>
        </w:rPr>
        <w:t xml:space="preserve">overnments in most developing countries have not been able to </w:t>
      </w:r>
      <w:r w:rsidR="00B71B3E">
        <w:rPr>
          <w:rFonts w:ascii="Times New Roman" w:hAnsi="Times New Roman"/>
          <w:sz w:val="24"/>
          <w:szCs w:val="24"/>
          <w:lang w:val="en-US" w:eastAsia="fr-BE"/>
        </w:rPr>
        <w:t xml:space="preserve">meet the </w:t>
      </w:r>
      <w:r w:rsidR="00970331">
        <w:rPr>
          <w:rFonts w:ascii="Times New Roman" w:hAnsi="Times New Roman"/>
          <w:sz w:val="24"/>
          <w:szCs w:val="24"/>
          <w:lang w:val="en-US" w:eastAsia="fr-BE"/>
        </w:rPr>
        <w:t>basic health</w:t>
      </w:r>
      <w:r w:rsidR="00B71B3E">
        <w:rPr>
          <w:rFonts w:ascii="Times New Roman" w:hAnsi="Times New Roman"/>
          <w:sz w:val="24"/>
          <w:szCs w:val="24"/>
          <w:lang w:val="en-US" w:eastAsia="fr-BE"/>
        </w:rPr>
        <w:t xml:space="preserve"> needs of their</w:t>
      </w:r>
      <w:r w:rsidR="00767F1F">
        <w:rPr>
          <w:rFonts w:ascii="Times New Roman" w:hAnsi="Times New Roman"/>
          <w:sz w:val="24"/>
          <w:szCs w:val="24"/>
          <w:lang w:val="en-US" w:eastAsia="fr-BE"/>
        </w:rPr>
        <w:t xml:space="preserve"> poor population, </w:t>
      </w:r>
      <w:r w:rsidR="003917C6">
        <w:rPr>
          <w:rFonts w:ascii="Times New Roman" w:hAnsi="Times New Roman"/>
          <w:sz w:val="24"/>
          <w:szCs w:val="24"/>
          <w:lang w:val="en-US" w:eastAsia="fr-BE"/>
        </w:rPr>
        <w:t xml:space="preserve">the international donor community tends to think not necessarily in terms of public coverage but also in terms of public-private partnerships. </w:t>
      </w:r>
      <w:r w:rsidR="00767F1F">
        <w:rPr>
          <w:rFonts w:ascii="Times New Roman" w:hAnsi="Times New Roman"/>
          <w:sz w:val="24"/>
          <w:szCs w:val="24"/>
          <w:lang w:val="en-US" w:eastAsia="fr-BE"/>
        </w:rPr>
        <w:t>Community-Based Health I</w:t>
      </w:r>
      <w:r w:rsidR="003917C6">
        <w:rPr>
          <w:rFonts w:ascii="Times New Roman" w:hAnsi="Times New Roman"/>
          <w:sz w:val="24"/>
          <w:szCs w:val="24"/>
          <w:lang w:val="en-US" w:eastAsia="fr-BE"/>
        </w:rPr>
        <w:t>nsurance</w:t>
      </w:r>
      <w:r w:rsidR="00B71B3E">
        <w:rPr>
          <w:rFonts w:ascii="Times New Roman" w:hAnsi="Times New Roman"/>
          <w:sz w:val="24"/>
          <w:szCs w:val="24"/>
          <w:lang w:val="en-US" w:eastAsia="fr-BE"/>
        </w:rPr>
        <w:t xml:space="preserve"> (CBHI)</w:t>
      </w:r>
      <w:r w:rsidR="003917C6">
        <w:rPr>
          <w:rFonts w:ascii="Times New Roman" w:hAnsi="Times New Roman"/>
          <w:sz w:val="24"/>
          <w:szCs w:val="24"/>
          <w:lang w:val="en-US" w:eastAsia="fr-BE"/>
        </w:rPr>
        <w:t xml:space="preserve"> or Microinsurance programs that provide </w:t>
      </w:r>
      <w:r w:rsidR="00B71B3E" w:rsidRPr="00E3709D">
        <w:rPr>
          <w:rFonts w:ascii="Times New Roman" w:hAnsi="Times New Roman"/>
          <w:sz w:val="24"/>
          <w:szCs w:val="24"/>
          <w:lang w:val="en-US" w:eastAsia="fr-BE"/>
        </w:rPr>
        <w:t>local healthcare financing option</w:t>
      </w:r>
      <w:r w:rsidR="00970331">
        <w:rPr>
          <w:rFonts w:ascii="Times New Roman" w:hAnsi="Times New Roman"/>
          <w:sz w:val="24"/>
          <w:szCs w:val="24"/>
          <w:lang w:val="en-US" w:eastAsia="fr-BE"/>
        </w:rPr>
        <w:t>s</w:t>
      </w:r>
      <w:r w:rsidR="00B71B3E" w:rsidRPr="00E3709D">
        <w:rPr>
          <w:rFonts w:ascii="Times New Roman" w:hAnsi="Times New Roman"/>
          <w:sz w:val="24"/>
          <w:szCs w:val="24"/>
          <w:lang w:val="en-US" w:eastAsia="fr-BE"/>
        </w:rPr>
        <w:t xml:space="preserve"> for the p</w:t>
      </w:r>
      <w:r w:rsidR="003917C6">
        <w:rPr>
          <w:rFonts w:ascii="Times New Roman" w:hAnsi="Times New Roman"/>
          <w:sz w:val="24"/>
          <w:szCs w:val="24"/>
          <w:lang w:val="en-US" w:eastAsia="fr-BE"/>
        </w:rPr>
        <w:t>oor</w:t>
      </w:r>
      <w:r w:rsidR="003917C6" w:rsidRPr="003917C6">
        <w:rPr>
          <w:rFonts w:ascii="Times New Roman" w:hAnsi="Times New Roman"/>
          <w:sz w:val="24"/>
          <w:szCs w:val="24"/>
          <w:lang w:val="en-US" w:eastAsia="fr-BE"/>
        </w:rPr>
        <w:t xml:space="preserve"> </w:t>
      </w:r>
      <w:r w:rsidR="003917C6">
        <w:rPr>
          <w:rFonts w:ascii="Times New Roman" w:hAnsi="Times New Roman"/>
          <w:sz w:val="24"/>
          <w:szCs w:val="24"/>
          <w:lang w:val="en-US" w:eastAsia="fr-BE"/>
        </w:rPr>
        <w:t>are thus increasingly considered as one of the ways available to build health coverage initiatives. D</w:t>
      </w:r>
      <w:r w:rsidR="00970331">
        <w:rPr>
          <w:rFonts w:ascii="Times New Roman" w:hAnsi="Times New Roman"/>
          <w:sz w:val="24"/>
          <w:szCs w:val="24"/>
          <w:lang w:val="en-US" w:eastAsia="fr-BE"/>
        </w:rPr>
        <w:t xml:space="preserve">esigned to provide </w:t>
      </w:r>
      <w:r w:rsidR="003917C6" w:rsidRPr="00E3709D">
        <w:rPr>
          <w:rFonts w:ascii="Times New Roman" w:hAnsi="Times New Roman"/>
          <w:sz w:val="24"/>
          <w:szCs w:val="24"/>
          <w:lang w:val="en-US" w:eastAsia="fr-BE"/>
        </w:rPr>
        <w:t xml:space="preserve">a defined set of </w:t>
      </w:r>
      <w:r w:rsidR="003917C6">
        <w:rPr>
          <w:rFonts w:ascii="Times New Roman" w:hAnsi="Times New Roman"/>
          <w:sz w:val="24"/>
          <w:szCs w:val="24"/>
          <w:lang w:val="en-US" w:eastAsia="fr-BE"/>
        </w:rPr>
        <w:t xml:space="preserve">subsidized </w:t>
      </w:r>
      <w:r w:rsidR="003917C6" w:rsidRPr="00E3709D">
        <w:rPr>
          <w:rFonts w:ascii="Times New Roman" w:hAnsi="Times New Roman"/>
          <w:sz w:val="24"/>
          <w:szCs w:val="24"/>
          <w:lang w:val="en-US" w:eastAsia="fr-BE"/>
        </w:rPr>
        <w:t>health benefits and services,</w:t>
      </w:r>
      <w:r w:rsidR="003917C6">
        <w:rPr>
          <w:rFonts w:ascii="Times New Roman" w:hAnsi="Times New Roman"/>
          <w:sz w:val="24"/>
          <w:szCs w:val="24"/>
          <w:lang w:val="en-US" w:eastAsia="fr-BE"/>
        </w:rPr>
        <w:t xml:space="preserve"> such as hospitalization or in-patient benefits, they have expanded exponentially over the past few years.</w:t>
      </w:r>
      <w:r w:rsidR="00B71B3E" w:rsidRPr="00E3709D">
        <w:rPr>
          <w:rFonts w:ascii="Times New Roman" w:hAnsi="Times New Roman"/>
          <w:sz w:val="24"/>
          <w:szCs w:val="24"/>
          <w:lang w:val="en-US" w:eastAsia="fr-BE"/>
        </w:rPr>
        <w:t xml:space="preserve">  </w:t>
      </w:r>
    </w:p>
    <w:p w:rsidR="00B71B3E" w:rsidRDefault="005D6D50" w:rsidP="00380B01">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Programs that offer m</w:t>
      </w:r>
      <w:r w:rsidR="00B71B3E">
        <w:rPr>
          <w:rFonts w:ascii="Times New Roman" w:hAnsi="Times New Roman"/>
          <w:sz w:val="24"/>
          <w:szCs w:val="24"/>
          <w:lang w:val="en-US" w:eastAsia="fr-BE"/>
        </w:rPr>
        <w:t>ore com</w:t>
      </w:r>
      <w:r w:rsidR="00E31CA8">
        <w:rPr>
          <w:rFonts w:ascii="Times New Roman" w:hAnsi="Times New Roman"/>
          <w:sz w:val="24"/>
          <w:szCs w:val="24"/>
          <w:lang w:val="en-US" w:eastAsia="fr-BE"/>
        </w:rPr>
        <w:t>prehensive products presenting</w:t>
      </w:r>
      <w:r w:rsidR="00B71B3E">
        <w:rPr>
          <w:rFonts w:ascii="Times New Roman" w:hAnsi="Times New Roman"/>
          <w:sz w:val="24"/>
          <w:szCs w:val="24"/>
          <w:lang w:val="en-US" w:eastAsia="fr-BE"/>
        </w:rPr>
        <w:t xml:space="preserve"> higher value to</w:t>
      </w:r>
      <w:r>
        <w:rPr>
          <w:rFonts w:ascii="Times New Roman" w:hAnsi="Times New Roman"/>
          <w:sz w:val="24"/>
          <w:szCs w:val="24"/>
          <w:lang w:val="en-US" w:eastAsia="fr-BE"/>
        </w:rPr>
        <w:t xml:space="preserve"> low-income households remain</w:t>
      </w:r>
      <w:r w:rsidR="00E31CA8">
        <w:rPr>
          <w:rFonts w:ascii="Times New Roman" w:hAnsi="Times New Roman"/>
          <w:sz w:val="24"/>
          <w:szCs w:val="24"/>
          <w:lang w:val="en-US" w:eastAsia="fr-BE"/>
        </w:rPr>
        <w:t xml:space="preserve"> rare. One exception</w:t>
      </w:r>
      <w:r w:rsidR="00B71B3E">
        <w:rPr>
          <w:rFonts w:ascii="Times New Roman" w:hAnsi="Times New Roman"/>
          <w:sz w:val="24"/>
          <w:szCs w:val="24"/>
          <w:lang w:val="en-US" w:eastAsia="fr-BE"/>
        </w:rPr>
        <w:t xml:space="preserve"> is the CBHI</w:t>
      </w:r>
      <w:r w:rsidR="00B71B3E" w:rsidRPr="00E3709D">
        <w:rPr>
          <w:rFonts w:ascii="Times New Roman" w:hAnsi="Times New Roman"/>
          <w:sz w:val="24"/>
          <w:szCs w:val="24"/>
          <w:lang w:val="en-US" w:eastAsia="fr-BE"/>
        </w:rPr>
        <w:t xml:space="preserve"> </w:t>
      </w:r>
      <w:r w:rsidR="00B71B3E">
        <w:rPr>
          <w:rFonts w:ascii="Times New Roman" w:hAnsi="Times New Roman"/>
          <w:sz w:val="24"/>
          <w:szCs w:val="24"/>
          <w:lang w:val="en-US" w:eastAsia="fr-BE"/>
        </w:rPr>
        <w:t>program</w:t>
      </w:r>
      <w:r w:rsidR="00B71B3E" w:rsidRPr="00E3709D">
        <w:rPr>
          <w:rFonts w:ascii="Times New Roman" w:hAnsi="Times New Roman"/>
          <w:sz w:val="24"/>
          <w:szCs w:val="24"/>
          <w:lang w:val="en-US" w:eastAsia="fr-BE"/>
        </w:rPr>
        <w:t xml:space="preserve"> </w:t>
      </w:r>
      <w:r w:rsidR="00B71B3E">
        <w:rPr>
          <w:rFonts w:ascii="Times New Roman" w:hAnsi="Times New Roman"/>
          <w:sz w:val="24"/>
          <w:szCs w:val="24"/>
          <w:lang w:val="en-US" w:eastAsia="fr-BE"/>
        </w:rPr>
        <w:t>recently implemented in India</w:t>
      </w:r>
      <w:r w:rsidR="00B71B3E" w:rsidRPr="00E3709D">
        <w:rPr>
          <w:rFonts w:ascii="Times New Roman" w:hAnsi="Times New Roman"/>
          <w:sz w:val="24"/>
          <w:szCs w:val="24"/>
          <w:lang w:val="en-US" w:eastAsia="fr-BE"/>
        </w:rPr>
        <w:t xml:space="preserve"> </w:t>
      </w:r>
      <w:r w:rsidR="00B71B3E">
        <w:rPr>
          <w:rFonts w:ascii="Times New Roman" w:hAnsi="Times New Roman"/>
          <w:sz w:val="24"/>
          <w:szCs w:val="24"/>
          <w:lang w:val="en-US" w:eastAsia="fr-BE"/>
        </w:rPr>
        <w:t xml:space="preserve">by </w:t>
      </w:r>
      <w:r w:rsidR="00B71B3E" w:rsidRPr="00E3709D">
        <w:rPr>
          <w:rFonts w:ascii="Times New Roman" w:hAnsi="Times New Roman"/>
          <w:sz w:val="24"/>
          <w:szCs w:val="24"/>
          <w:lang w:val="en-US" w:eastAsia="fr-BE"/>
        </w:rPr>
        <w:t>Swayam Shikshan Prayog (SSP) and Swasth India Services (SIS)</w:t>
      </w:r>
      <w:r w:rsidR="00B71B3E">
        <w:rPr>
          <w:rFonts w:ascii="Times New Roman" w:hAnsi="Times New Roman"/>
          <w:sz w:val="24"/>
          <w:szCs w:val="24"/>
          <w:lang w:val="en-US" w:eastAsia="fr-BE"/>
        </w:rPr>
        <w:t xml:space="preserve"> and underwritten by a local insurance company</w:t>
      </w:r>
      <w:r w:rsidR="00027A70">
        <w:rPr>
          <w:rFonts w:ascii="Times New Roman" w:hAnsi="Times New Roman"/>
          <w:sz w:val="24"/>
          <w:szCs w:val="24"/>
          <w:lang w:val="en-US" w:eastAsia="fr-BE"/>
        </w:rPr>
        <w:t xml:space="preserve"> called </w:t>
      </w:r>
      <w:r w:rsidR="00027A70">
        <w:rPr>
          <w:rFonts w:ascii="Times New Roman" w:hAnsi="Times New Roman"/>
          <w:sz w:val="24"/>
          <w:szCs w:val="24"/>
          <w:lang w:val="en-US"/>
        </w:rPr>
        <w:t>Arogya Sandhi</w:t>
      </w:r>
      <w:r w:rsidR="00B71B3E">
        <w:rPr>
          <w:rFonts w:ascii="Times New Roman" w:hAnsi="Times New Roman"/>
          <w:sz w:val="24"/>
          <w:szCs w:val="24"/>
          <w:lang w:val="en-US" w:eastAsia="fr-BE"/>
        </w:rPr>
        <w:t>.</w:t>
      </w:r>
      <w:r w:rsidR="00B71B3E" w:rsidRPr="00E3709D">
        <w:rPr>
          <w:rFonts w:ascii="Times New Roman" w:hAnsi="Times New Roman"/>
          <w:sz w:val="24"/>
          <w:szCs w:val="24"/>
          <w:lang w:val="en-US" w:eastAsia="fr-BE"/>
        </w:rPr>
        <w:t xml:space="preserve"> </w:t>
      </w:r>
      <w:r w:rsidR="00E31CA8">
        <w:rPr>
          <w:rFonts w:ascii="Times New Roman" w:hAnsi="Times New Roman"/>
          <w:sz w:val="24"/>
          <w:szCs w:val="24"/>
          <w:lang w:val="en-US" w:eastAsia="fr-BE"/>
        </w:rPr>
        <w:t xml:space="preserve">Aimed at going beyond basic in-patient cover and at </w:t>
      </w:r>
      <w:r w:rsidR="00B71B3E">
        <w:rPr>
          <w:rFonts w:ascii="Times New Roman" w:hAnsi="Times New Roman"/>
          <w:sz w:val="24"/>
          <w:szCs w:val="24"/>
          <w:lang w:val="en-US" w:eastAsia="fr-BE"/>
        </w:rPr>
        <w:t xml:space="preserve">reducing </w:t>
      </w:r>
      <w:r w:rsidR="00B71B3E" w:rsidRPr="00E3709D">
        <w:rPr>
          <w:rFonts w:ascii="Times New Roman" w:hAnsi="Times New Roman"/>
          <w:sz w:val="24"/>
          <w:szCs w:val="24"/>
          <w:lang w:val="en-US" w:eastAsia="fr-BE"/>
        </w:rPr>
        <w:t>out</w:t>
      </w:r>
      <w:r w:rsidR="00B71B3E">
        <w:rPr>
          <w:rFonts w:ascii="Times New Roman" w:hAnsi="Times New Roman"/>
          <w:sz w:val="24"/>
          <w:szCs w:val="24"/>
          <w:lang w:val="en-US" w:eastAsia="fr-BE"/>
        </w:rPr>
        <w:t>-</w:t>
      </w:r>
      <w:r w:rsidR="00B71B3E" w:rsidRPr="00E3709D">
        <w:rPr>
          <w:rFonts w:ascii="Times New Roman" w:hAnsi="Times New Roman"/>
          <w:sz w:val="24"/>
          <w:szCs w:val="24"/>
          <w:lang w:val="en-US" w:eastAsia="fr-BE"/>
        </w:rPr>
        <w:t>of</w:t>
      </w:r>
      <w:r w:rsidR="00B71B3E">
        <w:rPr>
          <w:rFonts w:ascii="Times New Roman" w:hAnsi="Times New Roman"/>
          <w:sz w:val="24"/>
          <w:szCs w:val="24"/>
          <w:lang w:val="en-US" w:eastAsia="fr-BE"/>
        </w:rPr>
        <w:t>-pocket health expenditures in</w:t>
      </w:r>
      <w:r w:rsidR="00E31CA8">
        <w:rPr>
          <w:rFonts w:ascii="Times New Roman" w:hAnsi="Times New Roman"/>
          <w:sz w:val="24"/>
          <w:szCs w:val="24"/>
          <w:lang w:val="en-US" w:eastAsia="fr-BE"/>
        </w:rPr>
        <w:t>curred by low income households</w:t>
      </w:r>
      <w:r w:rsidR="00B71B3E">
        <w:rPr>
          <w:rFonts w:ascii="Times New Roman" w:hAnsi="Times New Roman"/>
          <w:sz w:val="24"/>
          <w:szCs w:val="24"/>
          <w:lang w:val="en-US" w:eastAsia="fr-BE"/>
        </w:rPr>
        <w:t>,</w:t>
      </w:r>
      <w:r w:rsidR="00B71B3E" w:rsidRPr="00E3709D">
        <w:rPr>
          <w:rFonts w:ascii="Times New Roman" w:hAnsi="Times New Roman"/>
          <w:sz w:val="24"/>
          <w:szCs w:val="24"/>
          <w:lang w:val="en-US" w:eastAsia="fr-BE"/>
        </w:rPr>
        <w:t xml:space="preserve"> </w:t>
      </w:r>
      <w:r w:rsidR="00B71B3E">
        <w:rPr>
          <w:rFonts w:ascii="Times New Roman" w:hAnsi="Times New Roman"/>
          <w:sz w:val="24"/>
          <w:szCs w:val="24"/>
          <w:lang w:val="en-US" w:eastAsia="fr-BE"/>
        </w:rPr>
        <w:t>t</w:t>
      </w:r>
      <w:r w:rsidR="00E31CA8">
        <w:rPr>
          <w:rFonts w:ascii="Times New Roman" w:hAnsi="Times New Roman"/>
          <w:sz w:val="24"/>
          <w:szCs w:val="24"/>
          <w:lang w:val="en-US" w:eastAsia="fr-BE"/>
        </w:rPr>
        <w:t>he</w:t>
      </w:r>
      <w:r w:rsidR="00B71B3E" w:rsidRPr="00E3709D">
        <w:rPr>
          <w:rFonts w:ascii="Times New Roman" w:hAnsi="Times New Roman"/>
          <w:sz w:val="24"/>
          <w:szCs w:val="24"/>
          <w:lang w:val="en-US" w:eastAsia="fr-BE"/>
        </w:rPr>
        <w:t xml:space="preserve"> pro</w:t>
      </w:r>
      <w:r w:rsidR="00B71B3E">
        <w:rPr>
          <w:rFonts w:ascii="Times New Roman" w:hAnsi="Times New Roman"/>
          <w:sz w:val="24"/>
          <w:szCs w:val="24"/>
          <w:lang w:val="en-US" w:eastAsia="fr-BE"/>
        </w:rPr>
        <w:t>gram</w:t>
      </w:r>
      <w:r w:rsidR="00E31CA8">
        <w:rPr>
          <w:rFonts w:ascii="Times New Roman" w:hAnsi="Times New Roman"/>
          <w:sz w:val="24"/>
          <w:szCs w:val="24"/>
          <w:lang w:val="en-US" w:eastAsia="fr-BE"/>
        </w:rPr>
        <w:t xml:space="preserve"> supplies</w:t>
      </w:r>
      <w:r w:rsidR="00B71B3E">
        <w:rPr>
          <w:rFonts w:ascii="Times New Roman" w:hAnsi="Times New Roman"/>
          <w:sz w:val="24"/>
          <w:szCs w:val="24"/>
          <w:lang w:val="en-US" w:eastAsia="fr-BE"/>
        </w:rPr>
        <w:t xml:space="preserve"> </w:t>
      </w:r>
      <w:r w:rsidR="00B71B3E" w:rsidRPr="00E3709D">
        <w:rPr>
          <w:rFonts w:ascii="Times New Roman" w:hAnsi="Times New Roman"/>
          <w:sz w:val="24"/>
          <w:szCs w:val="24"/>
          <w:lang w:val="en-US" w:eastAsia="fr-BE"/>
        </w:rPr>
        <w:t xml:space="preserve">a </w:t>
      </w:r>
      <w:r w:rsidR="00B71B3E">
        <w:rPr>
          <w:rFonts w:ascii="Times New Roman" w:hAnsi="Times New Roman"/>
          <w:sz w:val="24"/>
          <w:szCs w:val="24"/>
          <w:lang w:val="en-US" w:eastAsia="fr-BE"/>
        </w:rPr>
        <w:t xml:space="preserve">hybrid </w:t>
      </w:r>
      <w:r w:rsidR="00B71B3E" w:rsidRPr="00E3709D">
        <w:rPr>
          <w:rFonts w:ascii="Times New Roman" w:hAnsi="Times New Roman"/>
          <w:sz w:val="24"/>
          <w:szCs w:val="24"/>
          <w:lang w:val="en-US" w:eastAsia="fr-BE"/>
        </w:rPr>
        <w:t>health insurance product</w:t>
      </w:r>
      <w:r w:rsidR="00E31CA8" w:rsidRPr="00E31CA8">
        <w:rPr>
          <w:rFonts w:ascii="Times New Roman" w:hAnsi="Times New Roman"/>
          <w:sz w:val="24"/>
          <w:szCs w:val="24"/>
          <w:lang w:val="en-US" w:eastAsia="fr-BE"/>
        </w:rPr>
        <w:t xml:space="preserve"> </w:t>
      </w:r>
      <w:r w:rsidR="00E31CA8">
        <w:rPr>
          <w:rFonts w:ascii="Times New Roman" w:hAnsi="Times New Roman"/>
          <w:sz w:val="24"/>
          <w:szCs w:val="24"/>
          <w:lang w:val="en-US" w:eastAsia="fr-BE"/>
        </w:rPr>
        <w:t>in two</w:t>
      </w:r>
      <w:r w:rsidR="00E31CA8" w:rsidRPr="00E3709D">
        <w:rPr>
          <w:rFonts w:ascii="Times New Roman" w:hAnsi="Times New Roman"/>
          <w:sz w:val="24"/>
          <w:szCs w:val="24"/>
          <w:lang w:val="en-US" w:eastAsia="fr-BE"/>
        </w:rPr>
        <w:t xml:space="preserve"> districts</w:t>
      </w:r>
      <w:r w:rsidR="00E31CA8">
        <w:rPr>
          <w:rFonts w:ascii="Times New Roman" w:hAnsi="Times New Roman"/>
          <w:sz w:val="24"/>
          <w:szCs w:val="24"/>
          <w:lang w:val="en-US" w:eastAsia="fr-BE"/>
        </w:rPr>
        <w:t xml:space="preserve"> of </w:t>
      </w:r>
      <w:r w:rsidR="00E31CA8" w:rsidRPr="00E3709D">
        <w:rPr>
          <w:rFonts w:ascii="Times New Roman" w:hAnsi="Times New Roman"/>
          <w:sz w:val="24"/>
          <w:szCs w:val="24"/>
          <w:lang w:val="en-US" w:eastAsia="fr-BE"/>
        </w:rPr>
        <w:t>Maharash</w:t>
      </w:r>
      <w:r w:rsidR="00E31CA8">
        <w:rPr>
          <w:rFonts w:ascii="Times New Roman" w:hAnsi="Times New Roman"/>
          <w:sz w:val="24"/>
          <w:szCs w:val="24"/>
          <w:lang w:val="en-US" w:eastAsia="fr-BE"/>
        </w:rPr>
        <w:t>tra state</w:t>
      </w:r>
      <w:r w:rsidR="00B71B3E">
        <w:rPr>
          <w:rFonts w:ascii="Times New Roman" w:hAnsi="Times New Roman"/>
          <w:sz w:val="24"/>
          <w:szCs w:val="24"/>
          <w:lang w:val="en-US" w:eastAsia="fr-BE"/>
        </w:rPr>
        <w:t>. Against a fixed annual premium</w:t>
      </w:r>
      <w:r w:rsidR="001628F2">
        <w:rPr>
          <w:rFonts w:ascii="Times New Roman" w:hAnsi="Times New Roman"/>
          <w:sz w:val="24"/>
          <w:szCs w:val="24"/>
          <w:lang w:val="en-US" w:eastAsia="fr-BE"/>
        </w:rPr>
        <w:t xml:space="preserve"> that varies with the size of the household</w:t>
      </w:r>
      <w:r w:rsidR="00B71B3E">
        <w:rPr>
          <w:rFonts w:ascii="Times New Roman" w:hAnsi="Times New Roman"/>
          <w:sz w:val="24"/>
          <w:szCs w:val="24"/>
          <w:lang w:val="en-US" w:eastAsia="fr-BE"/>
        </w:rPr>
        <w:t>,</w:t>
      </w:r>
      <w:r w:rsidR="00B71B3E" w:rsidRPr="00E3709D">
        <w:rPr>
          <w:rFonts w:ascii="Times New Roman" w:hAnsi="Times New Roman"/>
          <w:sz w:val="24"/>
          <w:szCs w:val="24"/>
          <w:lang w:val="en-US" w:eastAsia="fr-BE"/>
        </w:rPr>
        <w:t xml:space="preserve"> </w:t>
      </w:r>
      <w:r w:rsidR="00B71B3E">
        <w:rPr>
          <w:rFonts w:ascii="Times New Roman" w:hAnsi="Times New Roman"/>
          <w:sz w:val="24"/>
          <w:szCs w:val="24"/>
          <w:lang w:val="en-US" w:eastAsia="fr-BE"/>
        </w:rPr>
        <w:t>households are granted (i) free access to in-patient care</w:t>
      </w:r>
      <w:r w:rsidR="001628F2">
        <w:rPr>
          <w:rFonts w:ascii="Times New Roman" w:hAnsi="Times New Roman"/>
          <w:sz w:val="24"/>
          <w:szCs w:val="24"/>
          <w:lang w:val="en-US" w:eastAsia="fr-BE"/>
        </w:rPr>
        <w:t xml:space="preserve"> provided in empanelled hospitals</w:t>
      </w:r>
      <w:r w:rsidR="00B71B3E">
        <w:rPr>
          <w:rFonts w:ascii="Times New Roman" w:hAnsi="Times New Roman"/>
          <w:sz w:val="24"/>
          <w:szCs w:val="24"/>
          <w:lang w:val="en-US" w:eastAsia="fr-BE"/>
        </w:rPr>
        <w:t xml:space="preserve">, </w:t>
      </w:r>
      <w:r w:rsidR="00B71B3E" w:rsidRPr="00E3709D">
        <w:rPr>
          <w:rFonts w:ascii="Times New Roman" w:hAnsi="Times New Roman"/>
          <w:sz w:val="24"/>
          <w:szCs w:val="24"/>
          <w:lang w:val="en-US" w:eastAsia="fr-BE"/>
        </w:rPr>
        <w:t xml:space="preserve">up to an annual </w:t>
      </w:r>
      <w:r w:rsidR="00117B1B">
        <w:rPr>
          <w:rFonts w:ascii="Times New Roman" w:hAnsi="Times New Roman"/>
          <w:sz w:val="24"/>
          <w:szCs w:val="24"/>
          <w:lang w:val="en-US" w:eastAsia="fr-BE"/>
        </w:rPr>
        <w:t>benefit</w:t>
      </w:r>
      <w:r w:rsidR="00B71B3E" w:rsidRPr="00E3709D">
        <w:rPr>
          <w:rFonts w:ascii="Times New Roman" w:hAnsi="Times New Roman"/>
          <w:sz w:val="24"/>
          <w:szCs w:val="24"/>
          <w:lang w:val="en-US" w:eastAsia="fr-BE"/>
        </w:rPr>
        <w:t xml:space="preserve"> of US$667 for the </w:t>
      </w:r>
      <w:r w:rsidR="00B71B3E">
        <w:rPr>
          <w:rFonts w:ascii="Times New Roman" w:hAnsi="Times New Roman"/>
          <w:sz w:val="24"/>
          <w:szCs w:val="24"/>
          <w:lang w:val="en-US" w:eastAsia="fr-BE"/>
        </w:rPr>
        <w:t xml:space="preserve">whole family, and (ii) a reduction in out-patient health </w:t>
      </w:r>
      <w:r w:rsidR="00117B1B">
        <w:rPr>
          <w:rFonts w:ascii="Times New Roman" w:hAnsi="Times New Roman"/>
          <w:sz w:val="24"/>
          <w:szCs w:val="24"/>
          <w:lang w:val="en-US" w:eastAsia="fr-BE"/>
        </w:rPr>
        <w:t>costs</w:t>
      </w:r>
      <w:r w:rsidR="00B71B3E">
        <w:rPr>
          <w:rFonts w:ascii="Times New Roman" w:hAnsi="Times New Roman"/>
          <w:sz w:val="24"/>
          <w:szCs w:val="24"/>
          <w:lang w:val="en-US" w:eastAsia="fr-BE"/>
        </w:rPr>
        <w:t xml:space="preserve"> through a 50% discount on consultation fees and a 40-70% discount on the retail price of medicines. Another key feature of the program is that </w:t>
      </w:r>
      <w:r w:rsidR="000469FD">
        <w:rPr>
          <w:rFonts w:ascii="Times New Roman" w:hAnsi="Times New Roman"/>
          <w:sz w:val="24"/>
          <w:szCs w:val="24"/>
          <w:lang w:val="en-US" w:eastAsia="fr-BE"/>
        </w:rPr>
        <w:t xml:space="preserve">outpatient </w:t>
      </w:r>
      <w:r w:rsidR="00B71B3E">
        <w:rPr>
          <w:rFonts w:ascii="Times New Roman" w:hAnsi="Times New Roman"/>
          <w:sz w:val="24"/>
          <w:szCs w:val="24"/>
          <w:lang w:val="en-US" w:eastAsia="fr-BE"/>
        </w:rPr>
        <w:t>discounts are provided only through a specific network of community health workers</w:t>
      </w:r>
      <w:r w:rsidR="00B71B3E" w:rsidRPr="00E3709D">
        <w:rPr>
          <w:rFonts w:ascii="Times New Roman" w:hAnsi="Times New Roman"/>
          <w:sz w:val="24"/>
          <w:szCs w:val="24"/>
          <w:lang w:val="en-US" w:eastAsia="fr-BE"/>
        </w:rPr>
        <w:t>, physicians, diagnostic centers</w:t>
      </w:r>
      <w:r w:rsidR="005E3C2A">
        <w:rPr>
          <w:rFonts w:ascii="Times New Roman" w:hAnsi="Times New Roman"/>
          <w:sz w:val="24"/>
          <w:szCs w:val="24"/>
          <w:lang w:val="en-US" w:eastAsia="fr-BE"/>
        </w:rPr>
        <w:t>, clinics,</w:t>
      </w:r>
      <w:r w:rsidR="00B71B3E" w:rsidRPr="00E3709D">
        <w:rPr>
          <w:rFonts w:ascii="Times New Roman" w:hAnsi="Times New Roman"/>
          <w:sz w:val="24"/>
          <w:szCs w:val="24"/>
          <w:lang w:val="en-US" w:eastAsia="fr-BE"/>
        </w:rPr>
        <w:t xml:space="preserve"> and </w:t>
      </w:r>
      <w:r w:rsidR="00B71B3E">
        <w:rPr>
          <w:rFonts w:ascii="Times New Roman" w:hAnsi="Times New Roman"/>
          <w:sz w:val="24"/>
          <w:szCs w:val="24"/>
          <w:lang w:val="en-US" w:eastAsia="fr-BE"/>
        </w:rPr>
        <w:t>pharmacies</w:t>
      </w:r>
      <w:r w:rsidR="00B71B3E" w:rsidRPr="00E3709D">
        <w:rPr>
          <w:rFonts w:ascii="Times New Roman" w:hAnsi="Times New Roman"/>
          <w:sz w:val="24"/>
          <w:szCs w:val="24"/>
          <w:lang w:val="en-US" w:eastAsia="fr-BE"/>
        </w:rPr>
        <w:t xml:space="preserve"> (coordinated by a Community Health Trust). </w:t>
      </w:r>
    </w:p>
    <w:p w:rsidR="00AE49CE" w:rsidRDefault="00B71B3E" w:rsidP="00AE49CE">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 xml:space="preserve">It may appear surprising that many of these microinsurance programs have shown disappointing performances as measured by take up and contract renewal rates (see de Bock and Gelade, </w:t>
      </w:r>
      <w:r w:rsidRPr="00BA5973">
        <w:rPr>
          <w:rFonts w:ascii="Times New Roman" w:hAnsi="Times New Roman"/>
          <w:sz w:val="24"/>
          <w:szCs w:val="24"/>
          <w:lang w:val="en-US" w:eastAsia="fr-BE"/>
        </w:rPr>
        <w:t>2012</w:t>
      </w:r>
      <w:r>
        <w:rPr>
          <w:rFonts w:ascii="Times New Roman" w:hAnsi="Times New Roman"/>
          <w:sz w:val="24"/>
          <w:szCs w:val="24"/>
          <w:lang w:val="en-US" w:eastAsia="fr-BE"/>
        </w:rPr>
        <w:t xml:space="preserve">, for a recent survey). </w:t>
      </w:r>
      <w:r w:rsidR="000469FD">
        <w:rPr>
          <w:rFonts w:ascii="Times New Roman" w:hAnsi="Times New Roman"/>
          <w:sz w:val="24"/>
          <w:szCs w:val="24"/>
          <w:lang w:val="en-US" w:eastAsia="fr-BE"/>
        </w:rPr>
        <w:t>Indeed</w:t>
      </w:r>
      <w:r>
        <w:rPr>
          <w:rFonts w:ascii="Times New Roman" w:hAnsi="Times New Roman"/>
          <w:sz w:val="24"/>
          <w:szCs w:val="24"/>
          <w:lang w:val="en-US" w:eastAsia="fr-BE"/>
        </w:rPr>
        <w:t xml:space="preserve">, it is rather exceptional to see take up rates </w:t>
      </w:r>
      <w:r>
        <w:rPr>
          <w:rFonts w:ascii="Times New Roman" w:hAnsi="Times New Roman"/>
          <w:sz w:val="24"/>
          <w:szCs w:val="24"/>
          <w:lang w:val="en-US" w:eastAsia="fr-BE"/>
        </w:rPr>
        <w:lastRenderedPageBreak/>
        <w:t>above 30% and quite frequen</w:t>
      </w:r>
      <w:r w:rsidR="00817058">
        <w:rPr>
          <w:rFonts w:ascii="Times New Roman" w:hAnsi="Times New Roman"/>
          <w:sz w:val="24"/>
          <w:szCs w:val="24"/>
          <w:lang w:val="en-US" w:eastAsia="fr-BE"/>
        </w:rPr>
        <w:t>t to observe rates in the range 5</w:t>
      </w:r>
      <w:r>
        <w:rPr>
          <w:rFonts w:ascii="Times New Roman" w:hAnsi="Times New Roman"/>
          <w:sz w:val="24"/>
          <w:szCs w:val="24"/>
          <w:lang w:val="en-US" w:eastAsia="fr-BE"/>
        </w:rPr>
        <w:t xml:space="preserve">-20%. As for renewal rates, </w:t>
      </w:r>
      <w:r w:rsidRPr="00BA5973">
        <w:rPr>
          <w:rFonts w:ascii="Times New Roman" w:hAnsi="Times New Roman"/>
          <w:sz w:val="24"/>
          <w:szCs w:val="24"/>
          <w:lang w:val="en-US"/>
        </w:rPr>
        <w:t xml:space="preserve">available data suggest that </w:t>
      </w:r>
      <w:r w:rsidRPr="00BA5973">
        <w:rPr>
          <w:rFonts w:ascii="Times New Roman" w:hAnsi="Times New Roman"/>
          <w:sz w:val="24"/>
          <w:szCs w:val="24"/>
          <w:lang w:val="en-US" w:eastAsia="fr-BE"/>
        </w:rPr>
        <w:t>th</w:t>
      </w:r>
      <w:r>
        <w:rPr>
          <w:rFonts w:ascii="Times New Roman" w:hAnsi="Times New Roman"/>
          <w:sz w:val="24"/>
          <w:szCs w:val="24"/>
          <w:lang w:val="en-US" w:eastAsia="fr-BE"/>
        </w:rPr>
        <w:t>ey may be</w:t>
      </w:r>
      <w:r w:rsidRPr="00BA5973">
        <w:rPr>
          <w:rFonts w:ascii="Times New Roman" w:hAnsi="Times New Roman"/>
          <w:sz w:val="24"/>
          <w:szCs w:val="24"/>
          <w:lang w:val="en-US" w:eastAsia="fr-BE"/>
        </w:rPr>
        <w:t xml:space="preserve"> even smaller</w:t>
      </w:r>
      <w:r>
        <w:rPr>
          <w:rFonts w:ascii="Times New Roman" w:hAnsi="Times New Roman"/>
          <w:sz w:val="24"/>
          <w:szCs w:val="24"/>
          <w:lang w:val="en-US"/>
        </w:rPr>
        <w:t>:</w:t>
      </w:r>
      <w:r w:rsidRPr="00BA5973">
        <w:rPr>
          <w:rFonts w:ascii="Times New Roman" w:hAnsi="Times New Roman"/>
          <w:sz w:val="24"/>
          <w:szCs w:val="24"/>
          <w:lang w:val="en-US"/>
        </w:rPr>
        <w:t xml:space="preserve"> 7% in </w:t>
      </w:r>
      <w:r>
        <w:rPr>
          <w:rFonts w:ascii="Times New Roman" w:hAnsi="Times New Roman"/>
          <w:sz w:val="24"/>
          <w:szCs w:val="24"/>
          <w:lang w:val="en-US"/>
        </w:rPr>
        <w:t>Nicaragua (</w:t>
      </w:r>
      <w:r w:rsidRPr="00BA5973">
        <w:rPr>
          <w:rFonts w:ascii="Times New Roman" w:hAnsi="Times New Roman"/>
          <w:sz w:val="24"/>
          <w:szCs w:val="24"/>
          <w:lang w:val="en-US"/>
        </w:rPr>
        <w:t>Fitzpatrick et al.</w:t>
      </w:r>
      <w:r>
        <w:rPr>
          <w:rFonts w:ascii="Times New Roman" w:hAnsi="Times New Roman"/>
          <w:sz w:val="24"/>
          <w:szCs w:val="24"/>
          <w:lang w:val="en-US"/>
        </w:rPr>
        <w:t>, 2011),</w:t>
      </w:r>
      <w:r w:rsidRPr="00BA5973">
        <w:rPr>
          <w:rFonts w:ascii="Times New Roman" w:hAnsi="Times New Roman"/>
          <w:sz w:val="24"/>
          <w:szCs w:val="24"/>
          <w:lang w:val="en-US"/>
        </w:rPr>
        <w:t xml:space="preserve"> </w:t>
      </w:r>
      <w:r w:rsidR="005E3C2A">
        <w:rPr>
          <w:rFonts w:ascii="Times New Roman" w:hAnsi="Times New Roman"/>
          <w:sz w:val="24"/>
          <w:szCs w:val="24"/>
          <w:lang w:val="en-US"/>
        </w:rPr>
        <w:t xml:space="preserve">and </w:t>
      </w:r>
      <w:r w:rsidRPr="00BA5973">
        <w:rPr>
          <w:rFonts w:ascii="Times New Roman" w:hAnsi="Times New Roman"/>
          <w:sz w:val="24"/>
          <w:szCs w:val="24"/>
          <w:lang w:val="en-US"/>
        </w:rPr>
        <w:t>4% in</w:t>
      </w:r>
      <w:r>
        <w:rPr>
          <w:rFonts w:ascii="Times New Roman" w:hAnsi="Times New Roman"/>
          <w:sz w:val="24"/>
          <w:szCs w:val="24"/>
          <w:lang w:val="en-US"/>
        </w:rPr>
        <w:t xml:space="preserve"> India (Stein, </w:t>
      </w:r>
      <w:r w:rsidR="005E3C2A">
        <w:rPr>
          <w:rFonts w:ascii="Times New Roman" w:hAnsi="Times New Roman"/>
          <w:sz w:val="24"/>
          <w:szCs w:val="24"/>
          <w:lang w:val="en-US"/>
        </w:rPr>
        <w:t>2011). The figure of</w:t>
      </w:r>
      <w:r>
        <w:rPr>
          <w:rFonts w:ascii="Times New Roman" w:hAnsi="Times New Roman"/>
          <w:sz w:val="24"/>
          <w:szCs w:val="24"/>
          <w:lang w:val="en-US"/>
        </w:rPr>
        <w:t xml:space="preserve"> </w:t>
      </w:r>
      <w:r w:rsidRPr="00BA5973">
        <w:rPr>
          <w:rFonts w:ascii="Times New Roman" w:hAnsi="Times New Roman"/>
          <w:sz w:val="24"/>
          <w:szCs w:val="24"/>
          <w:lang w:val="en-US"/>
        </w:rPr>
        <w:t xml:space="preserve">54% </w:t>
      </w:r>
      <w:r w:rsidR="005E3C2A">
        <w:rPr>
          <w:rFonts w:ascii="Times New Roman" w:hAnsi="Times New Roman"/>
          <w:sz w:val="24"/>
          <w:szCs w:val="24"/>
          <w:lang w:val="en-US"/>
        </w:rPr>
        <w:t>found for</w:t>
      </w:r>
      <w:r>
        <w:rPr>
          <w:rFonts w:ascii="Times New Roman" w:hAnsi="Times New Roman"/>
          <w:sz w:val="24"/>
          <w:szCs w:val="24"/>
          <w:lang w:val="en-US"/>
        </w:rPr>
        <w:t xml:space="preserve"> Burkina Faso</w:t>
      </w:r>
      <w:r w:rsidRPr="00BA5973">
        <w:rPr>
          <w:rFonts w:ascii="Times New Roman" w:hAnsi="Times New Roman"/>
          <w:sz w:val="24"/>
          <w:szCs w:val="24"/>
          <w:lang w:val="en-US"/>
        </w:rPr>
        <w:t xml:space="preserve"> </w:t>
      </w:r>
      <w:r>
        <w:rPr>
          <w:rFonts w:ascii="Times New Roman" w:hAnsi="Times New Roman"/>
          <w:sz w:val="24"/>
          <w:szCs w:val="24"/>
          <w:lang w:val="en-US"/>
        </w:rPr>
        <w:t>(</w:t>
      </w:r>
      <w:r w:rsidRPr="00BA5973">
        <w:rPr>
          <w:rFonts w:ascii="Times New Roman" w:hAnsi="Times New Roman"/>
          <w:sz w:val="24"/>
          <w:szCs w:val="24"/>
          <w:lang w:val="en-US"/>
        </w:rPr>
        <w:t>Dong et al.</w:t>
      </w:r>
      <w:r>
        <w:rPr>
          <w:rFonts w:ascii="Times New Roman" w:hAnsi="Times New Roman"/>
          <w:sz w:val="24"/>
          <w:szCs w:val="24"/>
          <w:lang w:val="en-US"/>
        </w:rPr>
        <w:t xml:space="preserve">, </w:t>
      </w:r>
      <w:r w:rsidR="005E3C2A">
        <w:rPr>
          <w:rFonts w:ascii="Times New Roman" w:hAnsi="Times New Roman"/>
          <w:sz w:val="24"/>
          <w:szCs w:val="24"/>
          <w:lang w:val="en-US"/>
        </w:rPr>
        <w:t>2009) is exceptionally high in the light of most available evidence including our own</w:t>
      </w:r>
      <w:r w:rsidRPr="00BA5973">
        <w:rPr>
          <w:rFonts w:ascii="Times New Roman" w:hAnsi="Times New Roman"/>
          <w:sz w:val="24"/>
          <w:szCs w:val="24"/>
          <w:lang w:val="en-US"/>
        </w:rPr>
        <w:t>.</w:t>
      </w:r>
      <w:r>
        <w:rPr>
          <w:rFonts w:ascii="Times New Roman" w:hAnsi="Times New Roman"/>
          <w:sz w:val="24"/>
          <w:szCs w:val="24"/>
          <w:lang w:val="en-US" w:eastAsia="fr-BE"/>
        </w:rPr>
        <w:t xml:space="preserve"> </w:t>
      </w:r>
      <w:r w:rsidR="005E3C2A">
        <w:rPr>
          <w:rFonts w:ascii="Times New Roman" w:hAnsi="Times New Roman"/>
          <w:sz w:val="24"/>
          <w:szCs w:val="24"/>
          <w:lang w:val="en-US" w:eastAsia="fr-BE"/>
        </w:rPr>
        <w:t xml:space="preserve">As a matter of fact, </w:t>
      </w:r>
      <w:r w:rsidR="000469FD">
        <w:rPr>
          <w:rFonts w:ascii="Times New Roman" w:hAnsi="Times New Roman"/>
          <w:sz w:val="24"/>
          <w:szCs w:val="24"/>
          <w:lang w:val="en-US" w:eastAsia="fr-BE"/>
        </w:rPr>
        <w:t>t</w:t>
      </w:r>
      <w:r>
        <w:rPr>
          <w:rFonts w:ascii="Times New Roman" w:hAnsi="Times New Roman"/>
          <w:sz w:val="24"/>
          <w:szCs w:val="24"/>
          <w:lang w:val="en-US" w:eastAsia="fr-BE"/>
        </w:rPr>
        <w:t xml:space="preserve">he average rate of subscription </w:t>
      </w:r>
      <w:r w:rsidR="005E3C2A">
        <w:rPr>
          <w:rFonts w:ascii="Times New Roman" w:hAnsi="Times New Roman"/>
          <w:sz w:val="24"/>
          <w:szCs w:val="24"/>
          <w:lang w:val="en-US" w:eastAsia="fr-BE"/>
        </w:rPr>
        <w:t>in the SSP program (</w:t>
      </w:r>
      <w:r>
        <w:rPr>
          <w:rFonts w:ascii="Times New Roman" w:hAnsi="Times New Roman"/>
          <w:sz w:val="24"/>
          <w:szCs w:val="24"/>
          <w:lang w:val="en-US" w:eastAsia="fr-BE"/>
        </w:rPr>
        <w:t>2010</w:t>
      </w:r>
      <w:r w:rsidR="005E3C2A">
        <w:rPr>
          <w:rFonts w:ascii="Times New Roman" w:hAnsi="Times New Roman"/>
          <w:sz w:val="24"/>
          <w:szCs w:val="24"/>
          <w:lang w:val="en-US" w:eastAsia="fr-BE"/>
        </w:rPr>
        <w:t>)</w:t>
      </w:r>
      <w:r w:rsidR="00B61FE7">
        <w:rPr>
          <w:rFonts w:ascii="Times New Roman" w:hAnsi="Times New Roman"/>
          <w:sz w:val="24"/>
          <w:szCs w:val="24"/>
          <w:lang w:val="en-US" w:eastAsia="fr-BE"/>
        </w:rPr>
        <w:t xml:space="preserve"> was less than 2% and, regarding contract renewal,</w:t>
      </w:r>
      <w:r>
        <w:rPr>
          <w:rFonts w:ascii="Times New Roman" w:hAnsi="Times New Roman"/>
          <w:sz w:val="24"/>
          <w:szCs w:val="24"/>
          <w:lang w:val="en-US" w:eastAsia="fr-BE"/>
        </w:rPr>
        <w:t xml:space="preserve"> more than two-thirds of the (few) subscribers decided to drop out of the program as their contract expired. </w:t>
      </w:r>
      <w:r w:rsidR="00AE49CE">
        <w:rPr>
          <w:rFonts w:ascii="Times New Roman" w:hAnsi="Times New Roman"/>
          <w:sz w:val="24"/>
          <w:szCs w:val="24"/>
          <w:lang w:val="en-US" w:eastAsia="fr-BE"/>
        </w:rPr>
        <w:t xml:space="preserve">Moreover, we recorded a very low rate of (new) subscriptions (around 3%) among the households which did not initially enroll into the program but had the opportunity to do so one year later inside the treatment villages. </w:t>
      </w:r>
    </w:p>
    <w:p w:rsidR="00B71B3E" w:rsidRDefault="00B71B3E" w:rsidP="00C8260D">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We are thus provided with a unique opportunity to draw lessons from</w:t>
      </w:r>
      <w:r w:rsidR="00CF7E8D">
        <w:rPr>
          <w:rFonts w:ascii="Times New Roman" w:hAnsi="Times New Roman"/>
          <w:sz w:val="24"/>
          <w:szCs w:val="24"/>
          <w:lang w:val="en-US" w:eastAsia="fr-BE"/>
        </w:rPr>
        <w:t xml:space="preserve"> an</w:t>
      </w:r>
      <w:r w:rsidR="004124B8">
        <w:rPr>
          <w:rFonts w:ascii="Times New Roman" w:hAnsi="Times New Roman"/>
          <w:sz w:val="24"/>
          <w:szCs w:val="24"/>
          <w:lang w:val="en-US" w:eastAsia="fr-BE"/>
        </w:rPr>
        <w:t xml:space="preserve"> experience</w:t>
      </w:r>
      <w:r w:rsidR="00CF7E8D">
        <w:rPr>
          <w:rFonts w:ascii="Times New Roman" w:hAnsi="Times New Roman"/>
          <w:sz w:val="24"/>
          <w:szCs w:val="24"/>
          <w:lang w:val="en-US" w:eastAsia="fr-BE"/>
        </w:rPr>
        <w:t xml:space="preserve"> that did not meet the expectations</w:t>
      </w:r>
      <w:r w:rsidR="007B5EDC">
        <w:rPr>
          <w:rFonts w:ascii="Times New Roman" w:hAnsi="Times New Roman"/>
          <w:sz w:val="24"/>
          <w:szCs w:val="24"/>
          <w:lang w:val="en-US" w:eastAsia="fr-BE"/>
        </w:rPr>
        <w:t xml:space="preserve"> placed in it</w:t>
      </w:r>
      <w:r w:rsidR="00CF7E8D">
        <w:rPr>
          <w:rFonts w:ascii="Times New Roman" w:hAnsi="Times New Roman"/>
          <w:sz w:val="24"/>
          <w:szCs w:val="24"/>
          <w:lang w:val="en-US" w:eastAsia="fr-BE"/>
        </w:rPr>
        <w:t>. Indeed, the data we have collected allow us to look</w:t>
      </w:r>
      <w:r>
        <w:rPr>
          <w:rFonts w:ascii="Times New Roman" w:hAnsi="Times New Roman"/>
          <w:sz w:val="24"/>
          <w:szCs w:val="24"/>
          <w:lang w:val="en-US" w:eastAsia="fr-BE"/>
        </w:rPr>
        <w:t xml:space="preserve"> systematically into the main causes </w:t>
      </w:r>
      <w:r w:rsidR="004124B8">
        <w:rPr>
          <w:rFonts w:ascii="Times New Roman" w:hAnsi="Times New Roman"/>
          <w:sz w:val="24"/>
          <w:szCs w:val="24"/>
          <w:lang w:val="en-US" w:eastAsia="fr-BE"/>
        </w:rPr>
        <w:t xml:space="preserve">behind low </w:t>
      </w:r>
      <w:r w:rsidR="00CF7E8D">
        <w:rPr>
          <w:rFonts w:ascii="Times New Roman" w:hAnsi="Times New Roman"/>
          <w:sz w:val="24"/>
          <w:szCs w:val="24"/>
          <w:lang w:val="en-US" w:eastAsia="fr-BE"/>
        </w:rPr>
        <w:t>contract renewal</w:t>
      </w:r>
      <w:r w:rsidR="004C7B5B">
        <w:rPr>
          <w:rFonts w:ascii="Times New Roman" w:hAnsi="Times New Roman"/>
          <w:sz w:val="24"/>
          <w:szCs w:val="24"/>
          <w:lang w:val="en-US" w:eastAsia="fr-BE"/>
        </w:rPr>
        <w:t>.</w:t>
      </w:r>
      <w:r w:rsidR="004C7B5B">
        <w:rPr>
          <w:rStyle w:val="Appelnotedebasdep"/>
          <w:rFonts w:ascii="Times New Roman" w:hAnsi="Times New Roman"/>
          <w:sz w:val="24"/>
          <w:szCs w:val="24"/>
          <w:lang w:val="en-US" w:eastAsia="fr-BE"/>
        </w:rPr>
        <w:footnoteReference w:id="4"/>
      </w:r>
      <w:r w:rsidR="00CF7E8D">
        <w:rPr>
          <w:rFonts w:ascii="Times New Roman" w:hAnsi="Times New Roman"/>
          <w:sz w:val="24"/>
          <w:szCs w:val="24"/>
          <w:lang w:val="en-US" w:eastAsia="fr-BE"/>
        </w:rPr>
        <w:t xml:space="preserve"> We believe that such an inquiry supplies a more powerful test of the attractiveness of insurance schemes than an analysis of the determinants of initial subscription rates. </w:t>
      </w:r>
      <w:r w:rsidR="00B52739">
        <w:rPr>
          <w:rFonts w:ascii="Times New Roman" w:hAnsi="Times New Roman"/>
          <w:sz w:val="24"/>
          <w:szCs w:val="24"/>
          <w:lang w:val="en-US" w:eastAsia="fr-BE"/>
        </w:rPr>
        <w:t xml:space="preserve">This is because </w:t>
      </w:r>
      <w:r w:rsidR="009E650C">
        <w:rPr>
          <w:rFonts w:ascii="Times New Roman" w:hAnsi="Times New Roman"/>
          <w:sz w:val="24"/>
          <w:szCs w:val="24"/>
          <w:lang w:val="en-US" w:eastAsia="fr-BE"/>
        </w:rPr>
        <w:t xml:space="preserve">the ultimate test of the validity of an insurance program, or any program for that matter, ultimately rests upon its long-term sustainability. Since payment of the insurance premium has to be renewed at regular intervals (typically, every year), </w:t>
      </w:r>
      <w:r w:rsidR="00B503DF">
        <w:rPr>
          <w:rFonts w:ascii="Times New Roman" w:hAnsi="Times New Roman"/>
          <w:sz w:val="24"/>
          <w:szCs w:val="24"/>
          <w:lang w:val="en-US" w:eastAsia="fr-BE"/>
        </w:rPr>
        <w:t>understanding why initial subscribers choose to renew or not to renew their contract is bo</w:t>
      </w:r>
      <w:r w:rsidR="00F7680A">
        <w:rPr>
          <w:rFonts w:ascii="Times New Roman" w:hAnsi="Times New Roman"/>
          <w:sz w:val="24"/>
          <w:szCs w:val="24"/>
          <w:lang w:val="en-US" w:eastAsia="fr-BE"/>
        </w:rPr>
        <w:t xml:space="preserve">und to give insights into the manner in which they assess a real instead of a prospective experience. </w:t>
      </w:r>
      <w:r w:rsidR="008E2089">
        <w:rPr>
          <w:rFonts w:ascii="Times New Roman" w:hAnsi="Times New Roman"/>
          <w:sz w:val="24"/>
          <w:szCs w:val="24"/>
          <w:lang w:val="en-US" w:eastAsia="fr-BE"/>
        </w:rPr>
        <w:t>A</w:t>
      </w:r>
      <w:r w:rsidR="00C8260D">
        <w:rPr>
          <w:rFonts w:ascii="Times New Roman" w:hAnsi="Times New Roman"/>
          <w:sz w:val="24"/>
          <w:szCs w:val="24"/>
          <w:lang w:val="en-US" w:eastAsia="fr-BE"/>
        </w:rPr>
        <w:t>t the time of the initial decision to enroll or not enroll</w:t>
      </w:r>
      <w:r w:rsidR="00B52739">
        <w:rPr>
          <w:rFonts w:ascii="Times New Roman" w:hAnsi="Times New Roman"/>
          <w:sz w:val="24"/>
          <w:szCs w:val="24"/>
          <w:lang w:val="en-US" w:eastAsia="fr-BE"/>
        </w:rPr>
        <w:t xml:space="preserve"> into an insurance program</w:t>
      </w:r>
      <w:r w:rsidR="00C8260D">
        <w:rPr>
          <w:rFonts w:ascii="Times New Roman" w:hAnsi="Times New Roman"/>
          <w:sz w:val="24"/>
          <w:szCs w:val="24"/>
          <w:lang w:val="en-US" w:eastAsia="fr-BE"/>
        </w:rPr>
        <w:t>, people</w:t>
      </w:r>
      <w:r w:rsidR="00B52739">
        <w:rPr>
          <w:rFonts w:ascii="Times New Roman" w:hAnsi="Times New Roman"/>
          <w:sz w:val="24"/>
          <w:szCs w:val="24"/>
          <w:lang w:val="en-US" w:eastAsia="fr-BE"/>
        </w:rPr>
        <w:t xml:space="preserve"> may be influenced by effective (or ineffective) marketing strategies, false promises, or other </w:t>
      </w:r>
      <w:r w:rsidR="00185618">
        <w:rPr>
          <w:rFonts w:ascii="Times New Roman" w:hAnsi="Times New Roman"/>
          <w:sz w:val="24"/>
          <w:szCs w:val="24"/>
          <w:lang w:val="en-US" w:eastAsia="fr-BE"/>
        </w:rPr>
        <w:t>factors that do not have a lasting effect.</w:t>
      </w:r>
      <w:r w:rsidR="00B52739">
        <w:rPr>
          <w:rFonts w:ascii="Times New Roman" w:hAnsi="Times New Roman"/>
          <w:sz w:val="24"/>
          <w:szCs w:val="24"/>
          <w:lang w:val="en-US" w:eastAsia="fr-BE"/>
        </w:rPr>
        <w:t xml:space="preserve"> </w:t>
      </w:r>
      <w:r w:rsidR="00CF7E8D">
        <w:rPr>
          <w:rFonts w:ascii="Times New Roman" w:hAnsi="Times New Roman"/>
          <w:sz w:val="24"/>
          <w:szCs w:val="24"/>
          <w:lang w:val="en-US" w:eastAsia="fr-BE"/>
        </w:rPr>
        <w:t xml:space="preserve"> </w:t>
      </w:r>
    </w:p>
    <w:p w:rsidR="002515B5" w:rsidRDefault="00B71B3E" w:rsidP="00787C19">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 xml:space="preserve">It is common in the literature on microinsurance to distinguish between supply and demand factors. Supply-side </w:t>
      </w:r>
      <w:r w:rsidR="001E2A7B">
        <w:rPr>
          <w:rFonts w:ascii="Times New Roman" w:hAnsi="Times New Roman"/>
          <w:sz w:val="24"/>
          <w:szCs w:val="24"/>
          <w:lang w:val="en-US" w:eastAsia="fr-BE"/>
        </w:rPr>
        <w:t xml:space="preserve">factors that may cause problems in microinsurance programs </w:t>
      </w:r>
      <w:r>
        <w:rPr>
          <w:rFonts w:ascii="Times New Roman" w:hAnsi="Times New Roman"/>
          <w:sz w:val="24"/>
          <w:szCs w:val="24"/>
          <w:lang w:val="en-US" w:eastAsia="fr-BE"/>
        </w:rPr>
        <w:t xml:space="preserve">include low quality of the services provided (for example, medical services or drugs), inappropriate characteristics of the insurance product or the contract design, </w:t>
      </w:r>
      <w:r w:rsidR="000469FD">
        <w:rPr>
          <w:rFonts w:ascii="Times New Roman" w:hAnsi="Times New Roman"/>
          <w:sz w:val="24"/>
          <w:szCs w:val="24"/>
          <w:lang w:val="en-US" w:eastAsia="fr-BE"/>
        </w:rPr>
        <w:t>ineffective</w:t>
      </w:r>
      <w:r>
        <w:rPr>
          <w:rFonts w:ascii="Times New Roman" w:hAnsi="Times New Roman"/>
          <w:sz w:val="24"/>
          <w:szCs w:val="24"/>
          <w:lang w:val="en-US" w:eastAsia="fr-BE"/>
        </w:rPr>
        <w:t xml:space="preserve"> marketing, etc. Demand arising from poor, risk-averse villagers is normally expected to be high</w:t>
      </w:r>
      <w:r w:rsidRPr="004849A2">
        <w:rPr>
          <w:rFonts w:ascii="Times New Roman" w:hAnsi="Times New Roman"/>
          <w:sz w:val="24"/>
          <w:szCs w:val="24"/>
          <w:lang w:val="en-US" w:eastAsia="fr-BE"/>
        </w:rPr>
        <w:t xml:space="preserve"> </w:t>
      </w:r>
      <w:r>
        <w:rPr>
          <w:rFonts w:ascii="Times New Roman" w:hAnsi="Times New Roman"/>
          <w:sz w:val="24"/>
          <w:szCs w:val="24"/>
          <w:lang w:val="en-US" w:eastAsia="fr-BE"/>
        </w:rPr>
        <w:t>but may be hampered by liquidity constraints, lack of people’s trust in the insurer or in certain characteristics of the product, or else a weak und</w:t>
      </w:r>
      <w:r w:rsidR="00047AEF">
        <w:rPr>
          <w:rFonts w:ascii="Times New Roman" w:hAnsi="Times New Roman"/>
          <w:sz w:val="24"/>
          <w:szCs w:val="24"/>
          <w:lang w:val="en-US" w:eastAsia="fr-BE"/>
        </w:rPr>
        <w:t>erstanding</w:t>
      </w:r>
      <w:r>
        <w:rPr>
          <w:rFonts w:ascii="Times New Roman" w:hAnsi="Times New Roman"/>
          <w:sz w:val="24"/>
          <w:szCs w:val="24"/>
          <w:lang w:val="en-US" w:eastAsia="fr-BE"/>
        </w:rPr>
        <w:t xml:space="preserve"> of insurance</w:t>
      </w:r>
      <w:r w:rsidR="00047AEF">
        <w:rPr>
          <w:rFonts w:ascii="Times New Roman" w:hAnsi="Times New Roman"/>
          <w:sz w:val="24"/>
          <w:szCs w:val="24"/>
          <w:lang w:val="en-US" w:eastAsia="fr-BE"/>
        </w:rPr>
        <w:t xml:space="preserve"> principles</w:t>
      </w:r>
      <w:r w:rsidR="00B5489C">
        <w:rPr>
          <w:rFonts w:ascii="Times New Roman" w:hAnsi="Times New Roman"/>
          <w:sz w:val="24"/>
          <w:szCs w:val="24"/>
          <w:lang w:val="en-US" w:eastAsia="fr-BE"/>
        </w:rPr>
        <w:t xml:space="preserve"> </w:t>
      </w:r>
      <w:r w:rsidR="00B5489C">
        <w:rPr>
          <w:rFonts w:ascii="Times New Roman" w:hAnsi="Times New Roman"/>
          <w:sz w:val="24"/>
          <w:szCs w:val="24"/>
          <w:lang w:val="en-US" w:eastAsia="fr-BE"/>
        </w:rPr>
        <w:lastRenderedPageBreak/>
        <w:t xml:space="preserve">(see, e.g., </w:t>
      </w:r>
      <w:r w:rsidR="00903281">
        <w:rPr>
          <w:rFonts w:ascii="Times New Roman" w:hAnsi="Times New Roman"/>
          <w:sz w:val="24"/>
          <w:szCs w:val="24"/>
          <w:lang w:val="en-US" w:eastAsia="fr-BE"/>
        </w:rPr>
        <w:t xml:space="preserve">Jutting, 2003; </w:t>
      </w:r>
      <w:r w:rsidR="00B5489C">
        <w:rPr>
          <w:rFonts w:ascii="Times New Roman" w:hAnsi="Times New Roman"/>
          <w:sz w:val="24"/>
          <w:szCs w:val="24"/>
          <w:lang w:val="en-US" w:eastAsia="fr-BE"/>
        </w:rPr>
        <w:t xml:space="preserve">Giné et al., 2007; </w:t>
      </w:r>
      <w:r w:rsidR="00903281">
        <w:rPr>
          <w:rFonts w:ascii="Times New Roman" w:hAnsi="Times New Roman"/>
          <w:sz w:val="24"/>
          <w:szCs w:val="24"/>
          <w:lang w:val="en-US" w:eastAsia="fr-BE"/>
        </w:rPr>
        <w:t xml:space="preserve">Chankova et al., 2008; </w:t>
      </w:r>
      <w:r w:rsidR="008E2089">
        <w:rPr>
          <w:rFonts w:ascii="Times New Roman" w:hAnsi="Times New Roman"/>
          <w:sz w:val="24"/>
          <w:szCs w:val="24"/>
          <w:lang w:val="en-US" w:eastAsia="fr-BE"/>
        </w:rPr>
        <w:t xml:space="preserve">Ito and </w:t>
      </w:r>
      <w:r w:rsidR="00903281">
        <w:rPr>
          <w:rFonts w:ascii="Times New Roman" w:hAnsi="Times New Roman"/>
          <w:sz w:val="24"/>
          <w:szCs w:val="24"/>
          <w:lang w:val="en-US" w:eastAsia="fr-BE"/>
        </w:rPr>
        <w:t>Ko</w:t>
      </w:r>
      <w:r w:rsidR="008E2089">
        <w:rPr>
          <w:rFonts w:ascii="Times New Roman" w:hAnsi="Times New Roman"/>
          <w:sz w:val="24"/>
          <w:szCs w:val="24"/>
          <w:lang w:val="en-US" w:eastAsia="fr-BE"/>
        </w:rPr>
        <w:t xml:space="preserve">no, 2010; </w:t>
      </w:r>
      <w:r w:rsidR="00B5489C">
        <w:rPr>
          <w:rFonts w:ascii="Times New Roman" w:hAnsi="Times New Roman"/>
          <w:sz w:val="24"/>
          <w:szCs w:val="24"/>
          <w:lang w:val="en-US" w:eastAsia="fr-BE"/>
        </w:rPr>
        <w:t>Cole et al.,</w:t>
      </w:r>
      <w:r w:rsidR="00CD3A7C">
        <w:rPr>
          <w:rFonts w:ascii="Times New Roman" w:hAnsi="Times New Roman"/>
          <w:sz w:val="24"/>
          <w:szCs w:val="24"/>
          <w:lang w:val="en-US" w:eastAsia="fr-BE"/>
        </w:rPr>
        <w:t xml:space="preserve"> 2011</w:t>
      </w:r>
      <w:r w:rsidR="00B5489C">
        <w:rPr>
          <w:rFonts w:ascii="Times New Roman" w:hAnsi="Times New Roman"/>
          <w:sz w:val="24"/>
          <w:szCs w:val="24"/>
          <w:lang w:val="en-US" w:eastAsia="fr-BE"/>
        </w:rPr>
        <w:t>)</w:t>
      </w:r>
      <w:r>
        <w:rPr>
          <w:rFonts w:ascii="Times New Roman" w:hAnsi="Times New Roman"/>
          <w:sz w:val="24"/>
          <w:szCs w:val="24"/>
          <w:lang w:val="en-US" w:eastAsia="fr-BE"/>
        </w:rPr>
        <w:t xml:space="preserve">. </w:t>
      </w:r>
    </w:p>
    <w:p w:rsidR="00EB70A9" w:rsidRDefault="00AD1A22" w:rsidP="00E92635">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eastAsia="fr-BE"/>
        </w:rPr>
        <w:t>The most original feature of this paper lies in</w:t>
      </w:r>
      <w:r w:rsidR="00B71B3E">
        <w:rPr>
          <w:rFonts w:ascii="Times New Roman" w:hAnsi="Times New Roman"/>
          <w:sz w:val="24"/>
          <w:szCs w:val="24"/>
          <w:lang w:val="en-US" w:eastAsia="fr-BE"/>
        </w:rPr>
        <w:t xml:space="preserve"> its focus on</w:t>
      </w:r>
      <w:r w:rsidR="00C71B34">
        <w:rPr>
          <w:rFonts w:ascii="Times New Roman" w:hAnsi="Times New Roman"/>
          <w:sz w:val="24"/>
          <w:szCs w:val="24"/>
          <w:lang w:val="en-US" w:eastAsia="fr-BE"/>
        </w:rPr>
        <w:t>, and rigorous testing of</w:t>
      </w:r>
      <w:r w:rsidR="00B71B3E">
        <w:rPr>
          <w:rFonts w:ascii="Times New Roman" w:hAnsi="Times New Roman"/>
          <w:sz w:val="24"/>
          <w:szCs w:val="24"/>
          <w:lang w:val="en-US" w:eastAsia="fr-BE"/>
        </w:rPr>
        <w:t xml:space="preserve"> understand</w:t>
      </w:r>
      <w:r w:rsidR="002515B5">
        <w:rPr>
          <w:rFonts w:ascii="Times New Roman" w:hAnsi="Times New Roman"/>
          <w:sz w:val="24"/>
          <w:szCs w:val="24"/>
          <w:lang w:val="en-US" w:eastAsia="fr-BE"/>
        </w:rPr>
        <w:t>ing and information failures</w:t>
      </w:r>
      <w:r w:rsidR="00B71B3E">
        <w:rPr>
          <w:rFonts w:ascii="Times New Roman" w:hAnsi="Times New Roman"/>
          <w:sz w:val="24"/>
          <w:szCs w:val="24"/>
          <w:lang w:val="en-US" w:eastAsia="fr-BE"/>
        </w:rPr>
        <w:t xml:space="preserve">. </w:t>
      </w:r>
      <w:r w:rsidR="002515B5">
        <w:rPr>
          <w:rFonts w:ascii="Times New Roman" w:hAnsi="Times New Roman"/>
          <w:sz w:val="24"/>
          <w:szCs w:val="24"/>
          <w:lang w:val="en-US" w:eastAsia="fr-BE"/>
        </w:rPr>
        <w:t xml:space="preserve">We thus follow up on the business management literature on financial literacy in developed countries, the United States in particular. </w:t>
      </w:r>
      <w:r w:rsidR="002515B5">
        <w:rPr>
          <w:rFonts w:ascii="Times New Roman" w:hAnsi="Times New Roman"/>
          <w:bCs/>
          <w:sz w:val="24"/>
          <w:szCs w:val="24"/>
          <w:lang w:val="en-US" w:eastAsia="fr-BE"/>
        </w:rPr>
        <w:t>Its main finding is that lack of information (and misinformation) and cognitive biases are important factors behind poor consumer financial decisions, especial</w:t>
      </w:r>
      <w:r w:rsidR="008D03D3">
        <w:rPr>
          <w:rFonts w:ascii="Times New Roman" w:hAnsi="Times New Roman"/>
          <w:bCs/>
          <w:sz w:val="24"/>
          <w:szCs w:val="24"/>
          <w:lang w:val="en-US" w:eastAsia="fr-BE"/>
        </w:rPr>
        <w:t>ly when complex transactions, including</w:t>
      </w:r>
      <w:r w:rsidR="002515B5">
        <w:rPr>
          <w:rFonts w:ascii="Times New Roman" w:hAnsi="Times New Roman"/>
          <w:bCs/>
          <w:sz w:val="24"/>
          <w:szCs w:val="24"/>
          <w:lang w:val="en-US" w:eastAsia="fr-BE"/>
        </w:rPr>
        <w:t xml:space="preserve"> insurance</w:t>
      </w:r>
      <w:r w:rsidR="008D03D3">
        <w:rPr>
          <w:rFonts w:ascii="Times New Roman" w:hAnsi="Times New Roman"/>
          <w:bCs/>
          <w:sz w:val="24"/>
          <w:szCs w:val="24"/>
          <w:lang w:val="en-US" w:eastAsia="fr-BE"/>
        </w:rPr>
        <w:t>,</w:t>
      </w:r>
      <w:r w:rsidR="002515B5">
        <w:rPr>
          <w:rFonts w:ascii="Times New Roman" w:hAnsi="Times New Roman"/>
          <w:bCs/>
          <w:sz w:val="24"/>
          <w:szCs w:val="24"/>
          <w:lang w:val="en-US" w:eastAsia="fr-BE"/>
        </w:rPr>
        <w:t xml:space="preserve"> are involved (Gabaix and Laibson, 2006; Lusardi and Mitchell, 2009; Lusardi et al., 2009; Carlin, 2009; Cole et al., 2011; Kunreuther et al., 2013). Our own central result that</w:t>
      </w:r>
      <w:r w:rsidR="00B71B3E">
        <w:rPr>
          <w:rFonts w:ascii="Times New Roman" w:hAnsi="Times New Roman"/>
          <w:sz w:val="24"/>
          <w:szCs w:val="24"/>
          <w:lang w:val="en-US" w:eastAsia="fr-BE"/>
        </w:rPr>
        <w:t xml:space="preserve"> information</w:t>
      </w:r>
      <w:r w:rsidR="002515B5">
        <w:rPr>
          <w:rFonts w:ascii="Times New Roman" w:hAnsi="Times New Roman"/>
          <w:sz w:val="24"/>
          <w:szCs w:val="24"/>
          <w:lang w:val="en-US" w:eastAsia="fr-BE"/>
        </w:rPr>
        <w:t xml:space="preserve"> and understanding failures are significant factors behind the low performance of a microinsurance program in a poor country appears less surprising i</w:t>
      </w:r>
      <w:r w:rsidR="00EB70A9">
        <w:rPr>
          <w:rFonts w:ascii="Times New Roman" w:hAnsi="Times New Roman"/>
          <w:sz w:val="24"/>
          <w:szCs w:val="24"/>
          <w:lang w:val="en-US" w:eastAsia="fr-BE"/>
        </w:rPr>
        <w:t xml:space="preserve">n the light of this literature. It is also in line with the conclusion reached by </w:t>
      </w:r>
      <w:r w:rsidR="00EB70A9" w:rsidRPr="00EB70A9">
        <w:rPr>
          <w:rFonts w:ascii="Times New Roman" w:hAnsi="Times New Roman"/>
          <w:sz w:val="24"/>
          <w:szCs w:val="24"/>
          <w:lang w:val="en-US" w:eastAsia="fr-FR"/>
        </w:rPr>
        <w:t xml:space="preserve">Giné et al. (2007) </w:t>
      </w:r>
      <w:r w:rsidR="00EB70A9">
        <w:rPr>
          <w:rFonts w:ascii="Times New Roman" w:hAnsi="Times New Roman"/>
          <w:sz w:val="24"/>
          <w:szCs w:val="24"/>
          <w:lang w:val="en-US" w:eastAsia="fr-FR"/>
        </w:rPr>
        <w:t>regarding</w:t>
      </w:r>
      <w:r w:rsidR="00EB70A9" w:rsidRPr="00EB70A9">
        <w:rPr>
          <w:rFonts w:ascii="Times New Roman" w:hAnsi="Times New Roman"/>
          <w:sz w:val="24"/>
          <w:szCs w:val="24"/>
          <w:lang w:val="en-US"/>
        </w:rPr>
        <w:t xml:space="preserve"> the determinants of (low) participation in rainf</w:t>
      </w:r>
      <w:r w:rsidR="00EB70A9">
        <w:rPr>
          <w:rFonts w:ascii="Times New Roman" w:hAnsi="Times New Roman"/>
          <w:sz w:val="24"/>
          <w:szCs w:val="24"/>
          <w:lang w:val="en-US"/>
        </w:rPr>
        <w:t>all insurance schemes in India</w:t>
      </w:r>
      <w:r w:rsidR="00EB70A9" w:rsidRPr="00EB70A9">
        <w:rPr>
          <w:rFonts w:ascii="Times New Roman" w:hAnsi="Times New Roman"/>
          <w:sz w:val="24"/>
          <w:szCs w:val="24"/>
          <w:lang w:val="en-US" w:eastAsia="fr-FR"/>
        </w:rPr>
        <w:t xml:space="preserve"> </w:t>
      </w:r>
      <w:r w:rsidR="00EB70A9">
        <w:rPr>
          <w:rFonts w:ascii="Times New Roman" w:hAnsi="Times New Roman"/>
          <w:sz w:val="24"/>
          <w:szCs w:val="24"/>
          <w:lang w:val="en-US" w:eastAsia="fr-FR"/>
        </w:rPr>
        <w:t>(</w:t>
      </w:r>
      <w:r w:rsidR="00EB70A9" w:rsidRPr="00EB70A9">
        <w:rPr>
          <w:rFonts w:ascii="Times New Roman" w:hAnsi="Times New Roman"/>
          <w:sz w:val="24"/>
          <w:szCs w:val="24"/>
          <w:lang w:val="en-US" w:eastAsia="fr-FR"/>
        </w:rPr>
        <w:t>“the most common reason given by those</w:t>
      </w:r>
      <w:r w:rsidR="00EB70A9">
        <w:rPr>
          <w:rFonts w:ascii="Times New Roman" w:hAnsi="Times New Roman"/>
          <w:sz w:val="24"/>
          <w:szCs w:val="24"/>
          <w:lang w:val="en-US" w:eastAsia="fr-FR"/>
        </w:rPr>
        <w:t xml:space="preserve"> interviewed </w:t>
      </w:r>
      <w:r w:rsidR="00EB70A9" w:rsidRPr="00EB70A9">
        <w:rPr>
          <w:rFonts w:ascii="Times New Roman" w:hAnsi="Times New Roman"/>
          <w:sz w:val="24"/>
          <w:szCs w:val="24"/>
          <w:lang w:val="en-US" w:eastAsia="fr-FR"/>
        </w:rPr>
        <w:t>was that they did not understand the product”</w:t>
      </w:r>
      <w:r w:rsidR="00EB70A9">
        <w:rPr>
          <w:rFonts w:ascii="Times New Roman" w:hAnsi="Times New Roman"/>
          <w:sz w:val="24"/>
          <w:szCs w:val="24"/>
          <w:lang w:val="en-US" w:eastAsia="fr-FR"/>
        </w:rPr>
        <w:t xml:space="preserve">), or </w:t>
      </w:r>
      <w:r w:rsidR="00EB70A9" w:rsidRPr="00EB70A9">
        <w:rPr>
          <w:rFonts w:ascii="Times New Roman" w:hAnsi="Times New Roman"/>
          <w:sz w:val="24"/>
          <w:szCs w:val="24"/>
          <w:lang w:val="en-US" w:eastAsia="fr-FR"/>
        </w:rPr>
        <w:t>by Cole et al. (2011) and Gaurav et al. (2009), again in the case of India, and by Pra</w:t>
      </w:r>
      <w:r w:rsidR="00EB70A9">
        <w:rPr>
          <w:rFonts w:ascii="Times New Roman" w:hAnsi="Times New Roman"/>
          <w:sz w:val="24"/>
          <w:szCs w:val="24"/>
          <w:lang w:val="en-US" w:eastAsia="fr-FR"/>
        </w:rPr>
        <w:t>tt et al. (2010) in the cases of</w:t>
      </w:r>
      <w:r w:rsidR="00EB70A9" w:rsidRPr="00EB70A9">
        <w:rPr>
          <w:rFonts w:ascii="Times New Roman" w:hAnsi="Times New Roman"/>
          <w:sz w:val="24"/>
          <w:szCs w:val="24"/>
          <w:lang w:val="en-US" w:eastAsia="fr-FR"/>
        </w:rPr>
        <w:t xml:space="preserve"> Ethiopia and Malawi. </w:t>
      </w:r>
      <w:r w:rsidR="002F32A1">
        <w:rPr>
          <w:rFonts w:ascii="Times New Roman" w:hAnsi="Times New Roman"/>
          <w:sz w:val="24"/>
          <w:szCs w:val="24"/>
          <w:lang w:val="en-US"/>
        </w:rPr>
        <w:t>With respect to information, a</w:t>
      </w:r>
      <w:r w:rsidR="002F32A1" w:rsidRPr="002F32A1">
        <w:rPr>
          <w:rFonts w:ascii="Times New Roman" w:hAnsi="Times New Roman"/>
          <w:sz w:val="24"/>
          <w:szCs w:val="24"/>
          <w:lang w:val="en-US"/>
        </w:rPr>
        <w:t xml:space="preserve"> study of he</w:t>
      </w:r>
      <w:r w:rsidR="002F32A1">
        <w:rPr>
          <w:rFonts w:ascii="Times New Roman" w:hAnsi="Times New Roman"/>
          <w:sz w:val="24"/>
          <w:szCs w:val="24"/>
          <w:lang w:val="en-US"/>
        </w:rPr>
        <w:t>alth insurance in rural Senegal</w:t>
      </w:r>
      <w:r w:rsidR="002F32A1" w:rsidRPr="002F32A1">
        <w:rPr>
          <w:rFonts w:ascii="Times New Roman" w:hAnsi="Times New Roman"/>
          <w:sz w:val="24"/>
          <w:szCs w:val="24"/>
          <w:lang w:val="en-US"/>
        </w:rPr>
        <w:t xml:space="preserve"> </w:t>
      </w:r>
      <w:r w:rsidR="002F32A1">
        <w:rPr>
          <w:rFonts w:ascii="Times New Roman" w:hAnsi="Times New Roman"/>
          <w:sz w:val="24"/>
          <w:szCs w:val="24"/>
          <w:lang w:val="en-US"/>
        </w:rPr>
        <w:t>(</w:t>
      </w:r>
      <w:r w:rsidR="002F32A1" w:rsidRPr="002F32A1">
        <w:rPr>
          <w:rFonts w:ascii="Times New Roman" w:hAnsi="Times New Roman"/>
          <w:sz w:val="24"/>
          <w:szCs w:val="24"/>
          <w:lang w:val="en-US"/>
        </w:rPr>
        <w:t>Bonan et al.</w:t>
      </w:r>
      <w:r w:rsidR="002F32A1">
        <w:rPr>
          <w:rFonts w:ascii="Times New Roman" w:hAnsi="Times New Roman"/>
          <w:sz w:val="24"/>
          <w:szCs w:val="24"/>
          <w:lang w:val="en-US"/>
        </w:rPr>
        <w:t xml:space="preserve">, </w:t>
      </w:r>
      <w:r w:rsidR="002F32A1" w:rsidRPr="002F32A1">
        <w:rPr>
          <w:rFonts w:ascii="Times New Roman" w:hAnsi="Times New Roman"/>
          <w:sz w:val="24"/>
          <w:szCs w:val="24"/>
          <w:lang w:val="en-US"/>
        </w:rPr>
        <w:t xml:space="preserve">2012) </w:t>
      </w:r>
      <w:r w:rsidR="002F32A1">
        <w:rPr>
          <w:rFonts w:ascii="Times New Roman" w:hAnsi="Times New Roman"/>
          <w:sz w:val="24"/>
          <w:szCs w:val="24"/>
          <w:lang w:val="en-US"/>
        </w:rPr>
        <w:t>have fou</w:t>
      </w:r>
      <w:r w:rsidR="002F32A1" w:rsidRPr="002F32A1">
        <w:rPr>
          <w:rFonts w:ascii="Times New Roman" w:hAnsi="Times New Roman"/>
          <w:sz w:val="24"/>
          <w:szCs w:val="24"/>
          <w:lang w:val="en-US"/>
        </w:rPr>
        <w:t>nd that 55% of the people justified their lack of membership in Mutual Health Organizations by an absence of information about the product offered and/or about the existence of these organizations themselves.</w:t>
      </w:r>
    </w:p>
    <w:p w:rsidR="00C71B34" w:rsidRPr="00EB70A9" w:rsidRDefault="00C71B34" w:rsidP="00E92635">
      <w:pPr>
        <w:spacing w:after="240" w:line="360" w:lineRule="auto"/>
        <w:ind w:firstLine="426"/>
        <w:jc w:val="both"/>
        <w:rPr>
          <w:rFonts w:ascii="Times New Roman" w:hAnsi="Times New Roman"/>
          <w:sz w:val="24"/>
          <w:szCs w:val="24"/>
          <w:lang w:val="en-US" w:eastAsia="fr-FR"/>
        </w:rPr>
      </w:pPr>
      <w:r>
        <w:rPr>
          <w:rFonts w:ascii="Times New Roman" w:hAnsi="Times New Roman"/>
          <w:sz w:val="24"/>
          <w:szCs w:val="24"/>
          <w:lang w:val="en-US"/>
        </w:rPr>
        <w:t>The central story told in the paper is the following.</w:t>
      </w:r>
      <w:r w:rsidR="000C3CBE">
        <w:rPr>
          <w:rFonts w:ascii="Times New Roman" w:hAnsi="Times New Roman"/>
          <w:sz w:val="24"/>
          <w:szCs w:val="24"/>
          <w:lang w:val="en-US"/>
        </w:rPr>
        <w:t xml:space="preserve"> Insufficient information provided to subscribers determined a low rate of use of the insurance policy which itself led to a situation where many of them did not collect any payment on the insurance even though they were eligible. Combined with a poor understanding of the notion of insurance among many subscribers, which contrasts with a remarkable ability to estimate its benefits and costs, such an outcome caused a low rate of contract renewal.</w:t>
      </w:r>
    </w:p>
    <w:p w:rsidR="00B71B3E" w:rsidRDefault="00B71B3E" w:rsidP="00B71B3E">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 xml:space="preserve">The structure of the paper is as follows. In Section 2, our approach to sample design is explained and statistics are provided that describe the sample households in terms of their socio-economic and health characteristics. Section 3 proceeds in three steps. First, we present a simple conceptual framework that will help us specify the econometric models to be estimated. We then explain what we mean by a correct or incorrect understanding of the </w:t>
      </w:r>
      <w:r>
        <w:rPr>
          <w:rFonts w:ascii="Times New Roman" w:hAnsi="Times New Roman"/>
          <w:sz w:val="24"/>
          <w:szCs w:val="24"/>
          <w:lang w:val="en-US" w:eastAsia="fr-BE"/>
        </w:rPr>
        <w:lastRenderedPageBreak/>
        <w:t>insurance concept and by a good or bad information regarding the SSP microinsurance health program, and how we measure these two key dimensions. Finally, we supply key descriptive evidence about the importance of these two problems and the way they are related to (i) the use of the insured services, (ii) satisfaction levels and (iii) contract renewal. Section 4 also consists of three consecutive parts since, using a multivariate framework, we attempt to explain inter-h</w:t>
      </w:r>
      <w:r w:rsidR="00D80D77">
        <w:rPr>
          <w:rFonts w:ascii="Times New Roman" w:hAnsi="Times New Roman"/>
          <w:sz w:val="24"/>
          <w:szCs w:val="24"/>
          <w:lang w:val="en-US" w:eastAsia="fr-BE"/>
        </w:rPr>
        <w:t>ousehold variations in the</w:t>
      </w:r>
      <w:r>
        <w:rPr>
          <w:rFonts w:ascii="Times New Roman" w:hAnsi="Times New Roman"/>
          <w:sz w:val="24"/>
          <w:szCs w:val="24"/>
          <w:lang w:val="en-US" w:eastAsia="fr-BE"/>
        </w:rPr>
        <w:t xml:space="preserve"> above</w:t>
      </w:r>
      <w:r w:rsidR="00D80D77">
        <w:rPr>
          <w:rFonts w:ascii="Times New Roman" w:hAnsi="Times New Roman"/>
          <w:sz w:val="24"/>
          <w:szCs w:val="24"/>
          <w:lang w:val="en-US" w:eastAsia="fr-BE"/>
        </w:rPr>
        <w:t xml:space="preserve"> three</w:t>
      </w:r>
      <w:r>
        <w:rPr>
          <w:rFonts w:ascii="Times New Roman" w:hAnsi="Times New Roman"/>
          <w:sz w:val="24"/>
          <w:szCs w:val="24"/>
          <w:lang w:val="en-US" w:eastAsia="fr-BE"/>
        </w:rPr>
        <w:t xml:space="preserve"> variables, with special attention to the role of our understanding and information measures. Section 5 summarizes the main lessons from the microinsurance progr</w:t>
      </w:r>
      <w:r w:rsidR="00CD516E">
        <w:rPr>
          <w:rFonts w:ascii="Times New Roman" w:hAnsi="Times New Roman"/>
          <w:sz w:val="24"/>
          <w:szCs w:val="24"/>
          <w:lang w:val="en-US" w:eastAsia="fr-BE"/>
        </w:rPr>
        <w:t>am concerned, and draws some important</w:t>
      </w:r>
      <w:r>
        <w:rPr>
          <w:rFonts w:ascii="Times New Roman" w:hAnsi="Times New Roman"/>
          <w:sz w:val="24"/>
          <w:szCs w:val="24"/>
          <w:lang w:val="en-US" w:eastAsia="fr-BE"/>
        </w:rPr>
        <w:t xml:space="preserve"> policy implications.</w:t>
      </w:r>
    </w:p>
    <w:p w:rsidR="00917F4D" w:rsidRDefault="00917F4D" w:rsidP="00B71B3E">
      <w:pPr>
        <w:spacing w:after="240" w:line="360" w:lineRule="auto"/>
        <w:ind w:firstLine="426"/>
        <w:jc w:val="both"/>
        <w:rPr>
          <w:rFonts w:ascii="Times New Roman" w:hAnsi="Times New Roman"/>
          <w:sz w:val="24"/>
          <w:szCs w:val="24"/>
          <w:lang w:val="en-US" w:eastAsia="fr-BE"/>
        </w:rPr>
      </w:pPr>
    </w:p>
    <w:p w:rsidR="00B71B3E" w:rsidRPr="0023325E" w:rsidRDefault="00B71B3E" w:rsidP="00B71B3E">
      <w:pPr>
        <w:numPr>
          <w:ilvl w:val="0"/>
          <w:numId w:val="14"/>
        </w:numPr>
        <w:spacing w:after="240" w:line="360" w:lineRule="auto"/>
        <w:jc w:val="both"/>
        <w:rPr>
          <w:rFonts w:ascii="Times New Roman" w:hAnsi="Times New Roman"/>
          <w:b/>
          <w:sz w:val="28"/>
          <w:szCs w:val="28"/>
          <w:lang w:val="en-US" w:eastAsia="fr-BE"/>
        </w:rPr>
      </w:pPr>
      <w:r>
        <w:rPr>
          <w:rFonts w:ascii="Times New Roman" w:hAnsi="Times New Roman"/>
          <w:b/>
          <w:sz w:val="28"/>
          <w:szCs w:val="28"/>
          <w:lang w:val="en-US" w:eastAsia="fr-BE"/>
        </w:rPr>
        <w:t>Sample design and characteristics</w:t>
      </w:r>
    </w:p>
    <w:p w:rsidR="00B71B3E" w:rsidRPr="00E3709D" w:rsidRDefault="00B71B3E" w:rsidP="00B71B3E">
      <w:pPr>
        <w:spacing w:after="240" w:line="360" w:lineRule="auto"/>
        <w:ind w:firstLine="426"/>
        <w:jc w:val="both"/>
        <w:rPr>
          <w:rFonts w:ascii="Times New Roman" w:hAnsi="Times New Roman"/>
          <w:sz w:val="24"/>
          <w:szCs w:val="24"/>
          <w:lang w:val="en-US" w:eastAsia="fr-BE"/>
        </w:rPr>
      </w:pPr>
      <w:r w:rsidRPr="0056098E">
        <w:rPr>
          <w:rFonts w:ascii="Times New Roman" w:hAnsi="Times New Roman"/>
          <w:sz w:val="24"/>
          <w:szCs w:val="24"/>
          <w:lang w:val="en-US" w:eastAsia="fr-BE"/>
        </w:rPr>
        <w:t xml:space="preserve">The </w:t>
      </w:r>
      <w:r w:rsidRPr="00BA5973">
        <w:rPr>
          <w:rFonts w:ascii="Times New Roman" w:hAnsi="Times New Roman"/>
          <w:sz w:val="24"/>
          <w:szCs w:val="24"/>
          <w:lang w:val="en-US" w:eastAsia="fr-BE"/>
        </w:rPr>
        <w:t>health microinsurance program supported by SSP</w:t>
      </w:r>
      <w:r>
        <w:rPr>
          <w:rFonts w:ascii="Times New Roman" w:hAnsi="Times New Roman"/>
          <w:sz w:val="24"/>
          <w:szCs w:val="24"/>
          <w:lang w:val="en-US" w:eastAsia="fr-BE"/>
        </w:rPr>
        <w:t xml:space="preserve"> </w:t>
      </w:r>
      <w:r w:rsidRPr="0056098E">
        <w:rPr>
          <w:rFonts w:ascii="Times New Roman" w:hAnsi="Times New Roman"/>
          <w:sz w:val="24"/>
          <w:szCs w:val="24"/>
          <w:lang w:val="en-US" w:eastAsia="fr-BE"/>
        </w:rPr>
        <w:t xml:space="preserve">was initiated in </w:t>
      </w:r>
      <w:r>
        <w:rPr>
          <w:rFonts w:ascii="Times New Roman" w:hAnsi="Times New Roman"/>
          <w:sz w:val="24"/>
          <w:szCs w:val="24"/>
          <w:lang w:val="en-US" w:eastAsia="fr-BE"/>
        </w:rPr>
        <w:t xml:space="preserve">year 2010 in </w:t>
      </w:r>
      <w:r w:rsidRPr="0056098E">
        <w:rPr>
          <w:rFonts w:ascii="Times New Roman" w:hAnsi="Times New Roman"/>
          <w:sz w:val="24"/>
          <w:szCs w:val="24"/>
          <w:lang w:val="en-US" w:eastAsia="fr-BE"/>
        </w:rPr>
        <w:t>two districts</w:t>
      </w:r>
      <w:r>
        <w:rPr>
          <w:rFonts w:ascii="Times New Roman" w:hAnsi="Times New Roman"/>
          <w:sz w:val="24"/>
          <w:szCs w:val="24"/>
          <w:lang w:val="en-US" w:eastAsia="fr-BE"/>
        </w:rPr>
        <w:t xml:space="preserve"> of Maharashtra state (Solapur and Osmanabad). A total number of</w:t>
      </w:r>
      <w:r w:rsidRPr="0056098E">
        <w:rPr>
          <w:rFonts w:ascii="Times New Roman" w:hAnsi="Times New Roman"/>
          <w:sz w:val="24"/>
          <w:szCs w:val="24"/>
          <w:lang w:val="en-US" w:eastAsia="fr-BE"/>
        </w:rPr>
        <w:t xml:space="preserve"> 535 subscriber hou</w:t>
      </w:r>
      <w:r>
        <w:rPr>
          <w:rFonts w:ascii="Times New Roman" w:hAnsi="Times New Roman"/>
          <w:sz w:val="24"/>
          <w:szCs w:val="24"/>
          <w:lang w:val="en-US" w:eastAsia="fr-BE"/>
        </w:rPr>
        <w:t>seholds, spread over 54 villages, were initially registered, 415 of them in Solapur (in 34 villages) and 120 in Osmanabad (in 20 villages of Tuljapur council). This amounts to a low</w:t>
      </w:r>
      <w:r w:rsidRPr="0056098E">
        <w:rPr>
          <w:rFonts w:ascii="Times New Roman" w:hAnsi="Times New Roman"/>
          <w:sz w:val="24"/>
          <w:szCs w:val="24"/>
          <w:lang w:val="en-US" w:eastAsia="fr-BE"/>
        </w:rPr>
        <w:t xml:space="preserve"> </w:t>
      </w:r>
      <w:r>
        <w:rPr>
          <w:rFonts w:ascii="Times New Roman" w:hAnsi="Times New Roman"/>
          <w:sz w:val="24"/>
          <w:szCs w:val="24"/>
          <w:lang w:val="en-US" w:eastAsia="fr-BE"/>
        </w:rPr>
        <w:t>average subscription rate of 1.6%</w:t>
      </w:r>
      <w:r w:rsidRPr="0056098E">
        <w:rPr>
          <w:rFonts w:ascii="Times New Roman" w:hAnsi="Times New Roman"/>
          <w:sz w:val="24"/>
          <w:szCs w:val="24"/>
          <w:lang w:val="en-US" w:eastAsia="fr-BE"/>
        </w:rPr>
        <w:t xml:space="preserve">. </w:t>
      </w:r>
      <w:r>
        <w:rPr>
          <w:rFonts w:ascii="Times New Roman" w:hAnsi="Times New Roman"/>
          <w:sz w:val="24"/>
          <w:szCs w:val="24"/>
          <w:lang w:val="en-US" w:eastAsia="fr-BE"/>
        </w:rPr>
        <w:t>The frequency distribution of the subscribers is negatively asymmetric with only 5 villages exhibiting a subscription rate above</w:t>
      </w:r>
      <w:r w:rsidRPr="0056098E">
        <w:rPr>
          <w:rFonts w:ascii="Times New Roman" w:hAnsi="Times New Roman"/>
          <w:sz w:val="24"/>
          <w:szCs w:val="24"/>
          <w:lang w:val="en-US" w:eastAsia="fr-BE"/>
        </w:rPr>
        <w:t xml:space="preserve"> </w:t>
      </w:r>
      <w:r>
        <w:rPr>
          <w:rFonts w:ascii="Times New Roman" w:hAnsi="Times New Roman"/>
          <w:sz w:val="24"/>
          <w:szCs w:val="24"/>
          <w:lang w:val="en-US" w:eastAsia="fr-BE"/>
        </w:rPr>
        <w:t>5%. The</w:t>
      </w:r>
      <w:r w:rsidRPr="0056098E">
        <w:rPr>
          <w:rFonts w:ascii="Times New Roman" w:hAnsi="Times New Roman"/>
          <w:sz w:val="24"/>
          <w:szCs w:val="24"/>
          <w:lang w:val="en-US" w:eastAsia="fr-BE"/>
        </w:rPr>
        <w:t xml:space="preserve"> initial plan was to int</w:t>
      </w:r>
      <w:r>
        <w:rPr>
          <w:rFonts w:ascii="Times New Roman" w:hAnsi="Times New Roman"/>
          <w:sz w:val="24"/>
          <w:szCs w:val="24"/>
          <w:lang w:val="en-US" w:eastAsia="fr-BE"/>
        </w:rPr>
        <w:t>erview 600 households in</w:t>
      </w:r>
      <w:r w:rsidRPr="0056098E">
        <w:rPr>
          <w:rFonts w:ascii="Times New Roman" w:hAnsi="Times New Roman"/>
          <w:sz w:val="24"/>
          <w:szCs w:val="24"/>
          <w:lang w:val="en-US" w:eastAsia="fr-BE"/>
        </w:rPr>
        <w:t xml:space="preserve"> </w:t>
      </w:r>
      <w:r>
        <w:rPr>
          <w:rFonts w:ascii="Times New Roman" w:hAnsi="Times New Roman"/>
          <w:sz w:val="24"/>
          <w:szCs w:val="24"/>
          <w:lang w:val="en-US" w:eastAsia="fr-BE"/>
        </w:rPr>
        <w:t xml:space="preserve">the </w:t>
      </w:r>
      <w:r w:rsidRPr="0056098E">
        <w:rPr>
          <w:rFonts w:ascii="Times New Roman" w:hAnsi="Times New Roman"/>
          <w:sz w:val="24"/>
          <w:szCs w:val="24"/>
          <w:lang w:val="en-US" w:eastAsia="fr-BE"/>
        </w:rPr>
        <w:t>villages</w:t>
      </w:r>
      <w:r>
        <w:rPr>
          <w:rFonts w:ascii="Times New Roman" w:hAnsi="Times New Roman"/>
          <w:sz w:val="24"/>
          <w:szCs w:val="24"/>
          <w:lang w:val="en-US" w:eastAsia="fr-BE"/>
        </w:rPr>
        <w:t xml:space="preserve"> in which SSP introduced the insurance microinsurance program (the treated villages)</w:t>
      </w:r>
      <w:r w:rsidRPr="0056098E">
        <w:rPr>
          <w:rFonts w:ascii="Times New Roman" w:hAnsi="Times New Roman"/>
          <w:sz w:val="24"/>
          <w:szCs w:val="24"/>
          <w:lang w:val="en-US" w:eastAsia="fr-BE"/>
        </w:rPr>
        <w:t xml:space="preserve">, </w:t>
      </w:r>
      <w:r>
        <w:rPr>
          <w:rFonts w:ascii="Times New Roman" w:hAnsi="Times New Roman"/>
          <w:sz w:val="24"/>
          <w:szCs w:val="24"/>
          <w:lang w:val="en-US" w:eastAsia="fr-BE"/>
        </w:rPr>
        <w:t>300 subscribers and 300 non-subscribers.</w:t>
      </w:r>
      <w:r>
        <w:rPr>
          <w:rStyle w:val="Appelnotedebasdep"/>
          <w:rFonts w:ascii="Times New Roman" w:hAnsi="Times New Roman"/>
          <w:sz w:val="24"/>
          <w:szCs w:val="24"/>
          <w:lang w:val="en-US" w:eastAsia="fr-BE"/>
        </w:rPr>
        <w:footnoteReference w:id="5"/>
      </w:r>
      <w:r>
        <w:rPr>
          <w:rFonts w:ascii="Times New Roman" w:hAnsi="Times New Roman"/>
          <w:sz w:val="24"/>
          <w:szCs w:val="24"/>
          <w:lang w:val="en-US" w:eastAsia="fr-BE"/>
        </w:rPr>
        <w:t xml:space="preserve"> Assuming that there would be at least 5% of</w:t>
      </w:r>
      <w:r w:rsidR="00F350AC">
        <w:rPr>
          <w:rFonts w:ascii="Times New Roman" w:hAnsi="Times New Roman"/>
          <w:sz w:val="24"/>
          <w:szCs w:val="24"/>
          <w:lang w:val="en-US" w:eastAsia="fr-BE"/>
        </w:rPr>
        <w:t xml:space="preserve"> the population subscribing, the initial intent was</w:t>
      </w:r>
      <w:r>
        <w:rPr>
          <w:rFonts w:ascii="Times New Roman" w:hAnsi="Times New Roman"/>
          <w:sz w:val="24"/>
          <w:szCs w:val="24"/>
          <w:lang w:val="en-US" w:eastAsia="fr-BE"/>
        </w:rPr>
        <w:t xml:space="preserve"> to interview 15 households of each type in each of 20 randomly selected treatment villages. When we realized that this assumption was over-optimistic, we had to change strategy.</w:t>
      </w:r>
    </w:p>
    <w:p w:rsidR="00B71B3E" w:rsidRDefault="00B71B3E" w:rsidP="00B71B3E">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The option of</w:t>
      </w:r>
      <w:r w:rsidRPr="0009434E">
        <w:rPr>
          <w:rFonts w:ascii="Times New Roman" w:hAnsi="Times New Roman"/>
          <w:sz w:val="24"/>
          <w:szCs w:val="24"/>
          <w:lang w:val="en-US" w:eastAsia="fr-BE"/>
        </w:rPr>
        <w:t xml:space="preserve"> concentrat</w:t>
      </w:r>
      <w:r>
        <w:rPr>
          <w:rFonts w:ascii="Times New Roman" w:hAnsi="Times New Roman"/>
          <w:sz w:val="24"/>
          <w:szCs w:val="24"/>
          <w:lang w:val="en-US" w:eastAsia="fr-BE"/>
        </w:rPr>
        <w:t>ing</w:t>
      </w:r>
      <w:r w:rsidRPr="0009434E">
        <w:rPr>
          <w:rFonts w:ascii="Times New Roman" w:hAnsi="Times New Roman"/>
          <w:sz w:val="24"/>
          <w:szCs w:val="24"/>
          <w:lang w:val="en-US" w:eastAsia="fr-BE"/>
        </w:rPr>
        <w:t xml:space="preserve"> exclusively on villages where a sufficient number of households had subscribed was considered inappropriate,</w:t>
      </w:r>
      <w:r>
        <w:rPr>
          <w:rFonts w:ascii="Times New Roman" w:hAnsi="Times New Roman"/>
          <w:sz w:val="24"/>
          <w:szCs w:val="24"/>
          <w:lang w:val="en-US" w:eastAsia="fr-BE"/>
        </w:rPr>
        <w:t xml:space="preserve"> since it would cause an obvious</w:t>
      </w:r>
      <w:r w:rsidRPr="0009434E">
        <w:rPr>
          <w:rFonts w:ascii="Times New Roman" w:hAnsi="Times New Roman"/>
          <w:sz w:val="24"/>
          <w:szCs w:val="24"/>
          <w:lang w:val="en-US" w:eastAsia="fr-BE"/>
        </w:rPr>
        <w:t xml:space="preserve"> selection bias. The alternative of concentrating on broader areas covering a sufficiently high number of villa</w:t>
      </w:r>
      <w:r>
        <w:rPr>
          <w:rFonts w:ascii="Times New Roman" w:hAnsi="Times New Roman"/>
          <w:sz w:val="24"/>
          <w:szCs w:val="24"/>
          <w:lang w:val="en-US" w:eastAsia="fr-BE"/>
        </w:rPr>
        <w:t>ges to yield enough subscribers</w:t>
      </w:r>
      <w:r w:rsidRPr="0009434E">
        <w:rPr>
          <w:rFonts w:ascii="Times New Roman" w:hAnsi="Times New Roman"/>
          <w:sz w:val="24"/>
          <w:szCs w:val="24"/>
          <w:lang w:val="en-US" w:eastAsia="fr-BE"/>
        </w:rPr>
        <w:t xml:space="preserve"> </w:t>
      </w:r>
      <w:r>
        <w:rPr>
          <w:rFonts w:ascii="Times New Roman" w:hAnsi="Times New Roman"/>
          <w:sz w:val="24"/>
          <w:szCs w:val="24"/>
          <w:lang w:val="en-US" w:eastAsia="fr-BE"/>
        </w:rPr>
        <w:t>was also discarded. Because</w:t>
      </w:r>
      <w:r w:rsidRPr="0009434E">
        <w:rPr>
          <w:rFonts w:ascii="Times New Roman" w:hAnsi="Times New Roman"/>
          <w:sz w:val="24"/>
          <w:szCs w:val="24"/>
          <w:lang w:val="en-US" w:eastAsia="fr-BE"/>
        </w:rPr>
        <w:t xml:space="preserve"> a very limited number of </w:t>
      </w:r>
      <w:r>
        <w:rPr>
          <w:rFonts w:ascii="Times New Roman" w:hAnsi="Times New Roman"/>
          <w:sz w:val="24"/>
          <w:szCs w:val="24"/>
          <w:lang w:val="en-US" w:eastAsia="fr-BE"/>
        </w:rPr>
        <w:t xml:space="preserve">individuals would then be coming from the low </w:t>
      </w:r>
      <w:r w:rsidRPr="0009434E">
        <w:rPr>
          <w:rFonts w:ascii="Times New Roman" w:hAnsi="Times New Roman"/>
          <w:sz w:val="24"/>
          <w:szCs w:val="24"/>
          <w:lang w:val="en-US" w:eastAsia="fr-BE"/>
        </w:rPr>
        <w:t>subscription villages</w:t>
      </w:r>
      <w:r>
        <w:rPr>
          <w:rFonts w:ascii="Times New Roman" w:hAnsi="Times New Roman"/>
          <w:sz w:val="24"/>
          <w:szCs w:val="24"/>
          <w:lang w:val="en-US" w:eastAsia="fr-BE"/>
        </w:rPr>
        <w:t>, the selection problem would not be satisfactorily solved. Finally,</w:t>
      </w:r>
      <w:r w:rsidRPr="00E3709D">
        <w:rPr>
          <w:rFonts w:ascii="Times New Roman" w:hAnsi="Times New Roman"/>
          <w:sz w:val="24"/>
          <w:szCs w:val="24"/>
          <w:lang w:val="en-US" w:eastAsia="fr-BE"/>
        </w:rPr>
        <w:t xml:space="preserve"> a stratification strategy based on the total population</w:t>
      </w:r>
      <w:r>
        <w:rPr>
          <w:rFonts w:ascii="Times New Roman" w:hAnsi="Times New Roman"/>
          <w:sz w:val="24"/>
          <w:szCs w:val="24"/>
          <w:lang w:val="en-US" w:eastAsia="fr-BE"/>
        </w:rPr>
        <w:t xml:space="preserve"> of the village</w:t>
      </w:r>
      <w:r w:rsidRPr="00E3709D">
        <w:rPr>
          <w:rFonts w:ascii="Times New Roman" w:hAnsi="Times New Roman"/>
          <w:sz w:val="24"/>
          <w:szCs w:val="24"/>
          <w:lang w:val="en-US" w:eastAsia="fr-BE"/>
        </w:rPr>
        <w:t xml:space="preserve">, which might be correlated with the total number of </w:t>
      </w:r>
      <w:r>
        <w:rPr>
          <w:rFonts w:ascii="Times New Roman" w:hAnsi="Times New Roman"/>
          <w:sz w:val="24"/>
          <w:szCs w:val="24"/>
          <w:lang w:val="en-US" w:eastAsia="fr-BE"/>
        </w:rPr>
        <w:t xml:space="preserve">subscribers in </w:t>
      </w:r>
      <w:r>
        <w:rPr>
          <w:rFonts w:ascii="Times New Roman" w:hAnsi="Times New Roman"/>
          <w:sz w:val="24"/>
          <w:szCs w:val="24"/>
          <w:lang w:val="en-US" w:eastAsia="fr-BE"/>
        </w:rPr>
        <w:lastRenderedPageBreak/>
        <w:t>the village but exogenous</w:t>
      </w:r>
      <w:r w:rsidRPr="00E3709D">
        <w:rPr>
          <w:rFonts w:ascii="Times New Roman" w:hAnsi="Times New Roman"/>
          <w:sz w:val="24"/>
          <w:szCs w:val="24"/>
          <w:lang w:val="en-US" w:eastAsia="fr-BE"/>
        </w:rPr>
        <w:t xml:space="preserve"> to the behavior</w:t>
      </w:r>
      <w:r>
        <w:rPr>
          <w:rFonts w:ascii="Times New Roman" w:hAnsi="Times New Roman"/>
          <w:sz w:val="24"/>
          <w:szCs w:val="24"/>
          <w:lang w:val="en-US" w:eastAsia="fr-BE"/>
        </w:rPr>
        <w:t xml:space="preserve"> under scrutiny, proved to be</w:t>
      </w:r>
      <w:r w:rsidRPr="00E3709D">
        <w:rPr>
          <w:rFonts w:ascii="Times New Roman" w:hAnsi="Times New Roman"/>
          <w:sz w:val="24"/>
          <w:szCs w:val="24"/>
          <w:lang w:val="en-US" w:eastAsia="fr-BE"/>
        </w:rPr>
        <w:t xml:space="preserve"> unfeasible</w:t>
      </w:r>
      <w:r>
        <w:rPr>
          <w:rFonts w:ascii="Times New Roman" w:hAnsi="Times New Roman"/>
          <w:sz w:val="24"/>
          <w:szCs w:val="24"/>
          <w:lang w:val="en-US" w:eastAsia="fr-BE"/>
        </w:rPr>
        <w:t>:</w:t>
      </w:r>
      <w:r w:rsidRPr="00E3709D">
        <w:rPr>
          <w:rFonts w:ascii="Times New Roman" w:hAnsi="Times New Roman"/>
          <w:sz w:val="24"/>
          <w:szCs w:val="24"/>
          <w:lang w:val="en-US" w:eastAsia="fr-BE"/>
        </w:rPr>
        <w:t xml:space="preserve"> there is</w:t>
      </w:r>
      <w:r>
        <w:rPr>
          <w:rFonts w:ascii="Times New Roman" w:hAnsi="Times New Roman"/>
          <w:sz w:val="24"/>
          <w:szCs w:val="24"/>
          <w:lang w:val="en-US" w:eastAsia="fr-BE"/>
        </w:rPr>
        <w:t>,</w:t>
      </w:r>
      <w:r w:rsidRPr="00E3709D">
        <w:rPr>
          <w:rFonts w:ascii="Times New Roman" w:hAnsi="Times New Roman"/>
          <w:sz w:val="24"/>
          <w:szCs w:val="24"/>
          <w:lang w:val="en-US" w:eastAsia="fr-BE"/>
        </w:rPr>
        <w:t xml:space="preserve"> </w:t>
      </w:r>
      <w:r>
        <w:rPr>
          <w:rFonts w:ascii="Times New Roman" w:hAnsi="Times New Roman"/>
          <w:sz w:val="24"/>
          <w:szCs w:val="24"/>
          <w:lang w:val="en-US" w:eastAsia="fr-BE"/>
        </w:rPr>
        <w:t xml:space="preserve">indeed, </w:t>
      </w:r>
      <w:r w:rsidRPr="00E3709D">
        <w:rPr>
          <w:rFonts w:ascii="Times New Roman" w:hAnsi="Times New Roman"/>
          <w:sz w:val="24"/>
          <w:szCs w:val="24"/>
          <w:lang w:val="en-US" w:eastAsia="fr-BE"/>
        </w:rPr>
        <w:t>no correlation between the village population and the</w:t>
      </w:r>
      <w:r>
        <w:rPr>
          <w:rFonts w:ascii="Times New Roman" w:hAnsi="Times New Roman"/>
          <w:sz w:val="24"/>
          <w:szCs w:val="24"/>
          <w:lang w:val="en-US" w:eastAsia="fr-BE"/>
        </w:rPr>
        <w:t xml:space="preserve"> number of subscribers (0.026).</w:t>
      </w:r>
    </w:p>
    <w:p w:rsidR="00B71B3E" w:rsidRDefault="00B71B3E" w:rsidP="00B71B3E">
      <w:pPr>
        <w:spacing w:after="240" w:line="360" w:lineRule="auto"/>
        <w:ind w:firstLine="426"/>
        <w:jc w:val="both"/>
        <w:rPr>
          <w:rFonts w:ascii="Times New Roman" w:hAnsi="Times New Roman"/>
          <w:sz w:val="24"/>
          <w:szCs w:val="24"/>
          <w:lang w:val="en-US" w:eastAsia="fr-BE"/>
        </w:rPr>
      </w:pPr>
      <w:r w:rsidRPr="00E3709D">
        <w:rPr>
          <w:rFonts w:ascii="Times New Roman" w:hAnsi="Times New Roman"/>
          <w:sz w:val="24"/>
          <w:szCs w:val="24"/>
          <w:lang w:val="en-US" w:eastAsia="fr-BE"/>
        </w:rPr>
        <w:t>Therefore, to avoid a sample selection process based on the behavior of the households, a two-stage random sampling procedure was followed in order to complete the sample of 300 subscribers and 300 non subscribers in treatment villages.</w:t>
      </w:r>
      <w:r>
        <w:rPr>
          <w:rFonts w:ascii="Times New Roman" w:hAnsi="Times New Roman"/>
          <w:sz w:val="24"/>
          <w:szCs w:val="24"/>
          <w:lang w:val="en-US" w:eastAsia="fr-BE"/>
        </w:rPr>
        <w:t xml:space="preserve"> </w:t>
      </w:r>
      <w:r w:rsidRPr="00E3709D">
        <w:rPr>
          <w:rFonts w:ascii="Times New Roman" w:hAnsi="Times New Roman"/>
          <w:sz w:val="24"/>
          <w:szCs w:val="24"/>
          <w:lang w:val="en-US" w:eastAsia="fr-BE"/>
        </w:rPr>
        <w:t>First, a treatment village was randomly selected from the list of 54 treatment villages. Then, in case the number of subscribers was small (lower than 20 subscribers), the entire population of subscribers was included in the sample. In case the number o</w:t>
      </w:r>
      <w:r>
        <w:rPr>
          <w:rFonts w:ascii="Times New Roman" w:hAnsi="Times New Roman"/>
          <w:sz w:val="24"/>
          <w:szCs w:val="24"/>
          <w:lang w:val="en-US" w:eastAsia="fr-BE"/>
        </w:rPr>
        <w:t>f subscribers was larger than this threshold</w:t>
      </w:r>
      <w:r w:rsidRPr="00E3709D">
        <w:rPr>
          <w:rFonts w:ascii="Times New Roman" w:hAnsi="Times New Roman"/>
          <w:sz w:val="24"/>
          <w:szCs w:val="24"/>
          <w:lang w:val="en-US" w:eastAsia="fr-BE"/>
        </w:rPr>
        <w:t>, 20 subscribers were randomly selected and added to the sample</w:t>
      </w:r>
      <w:r>
        <w:rPr>
          <w:rFonts w:ascii="Times New Roman" w:hAnsi="Times New Roman"/>
          <w:sz w:val="24"/>
          <w:szCs w:val="24"/>
          <w:lang w:val="en-US" w:eastAsia="fr-BE"/>
        </w:rPr>
        <w:t>. This procedure was pursued by adding new</w:t>
      </w:r>
      <w:r w:rsidRPr="00E3709D">
        <w:rPr>
          <w:rFonts w:ascii="Times New Roman" w:hAnsi="Times New Roman"/>
          <w:sz w:val="24"/>
          <w:szCs w:val="24"/>
          <w:lang w:val="en-US" w:eastAsia="fr-BE"/>
        </w:rPr>
        <w:t xml:space="preserve"> randomly selected </w:t>
      </w:r>
      <w:r>
        <w:rPr>
          <w:rFonts w:ascii="Times New Roman" w:hAnsi="Times New Roman"/>
          <w:sz w:val="24"/>
          <w:szCs w:val="24"/>
          <w:lang w:val="en-US" w:eastAsia="fr-BE"/>
        </w:rPr>
        <w:t xml:space="preserve">villages till the set objective of 300 </w:t>
      </w:r>
      <w:r w:rsidRPr="00E3709D">
        <w:rPr>
          <w:rFonts w:ascii="Times New Roman" w:hAnsi="Times New Roman"/>
          <w:sz w:val="24"/>
          <w:szCs w:val="24"/>
          <w:lang w:val="en-US" w:eastAsia="fr-BE"/>
        </w:rPr>
        <w:t>subscriber household</w:t>
      </w:r>
      <w:r>
        <w:rPr>
          <w:rFonts w:ascii="Times New Roman" w:hAnsi="Times New Roman"/>
          <w:sz w:val="24"/>
          <w:szCs w:val="24"/>
          <w:lang w:val="en-US" w:eastAsia="fr-BE"/>
        </w:rPr>
        <w:t>s was reached</w:t>
      </w:r>
      <w:r w:rsidRPr="00E3709D">
        <w:rPr>
          <w:rFonts w:ascii="Times New Roman" w:hAnsi="Times New Roman"/>
          <w:sz w:val="24"/>
          <w:szCs w:val="24"/>
          <w:lang w:val="en-US" w:eastAsia="fr-BE"/>
        </w:rPr>
        <w:t>. In each</w:t>
      </w:r>
      <w:r>
        <w:rPr>
          <w:rFonts w:ascii="Times New Roman" w:hAnsi="Times New Roman"/>
          <w:sz w:val="24"/>
          <w:szCs w:val="24"/>
          <w:lang w:val="en-US" w:eastAsia="fr-BE"/>
        </w:rPr>
        <w:t xml:space="preserve"> of these</w:t>
      </w:r>
      <w:r w:rsidRPr="00E3709D">
        <w:rPr>
          <w:rFonts w:ascii="Times New Roman" w:hAnsi="Times New Roman"/>
          <w:sz w:val="24"/>
          <w:szCs w:val="24"/>
          <w:lang w:val="en-US" w:eastAsia="fr-BE"/>
        </w:rPr>
        <w:t xml:space="preserve"> treatment village</w:t>
      </w:r>
      <w:r>
        <w:rPr>
          <w:rFonts w:ascii="Times New Roman" w:hAnsi="Times New Roman"/>
          <w:sz w:val="24"/>
          <w:szCs w:val="24"/>
          <w:lang w:val="en-US" w:eastAsia="fr-BE"/>
        </w:rPr>
        <w:t>s</w:t>
      </w:r>
      <w:r w:rsidRPr="00E3709D">
        <w:rPr>
          <w:rFonts w:ascii="Times New Roman" w:hAnsi="Times New Roman"/>
          <w:sz w:val="24"/>
          <w:szCs w:val="24"/>
          <w:lang w:val="en-US" w:eastAsia="fr-BE"/>
        </w:rPr>
        <w:t xml:space="preserve">, the number of non subscribers surveyed was equal to the number of subscribers. </w:t>
      </w:r>
      <w:r>
        <w:rPr>
          <w:rFonts w:ascii="Times New Roman" w:hAnsi="Times New Roman"/>
          <w:sz w:val="24"/>
          <w:szCs w:val="24"/>
          <w:lang w:val="en-US" w:eastAsia="fr-BE"/>
        </w:rPr>
        <w:t xml:space="preserve">Our village sample was eventually made of </w:t>
      </w:r>
      <w:r w:rsidRPr="00E3709D">
        <w:rPr>
          <w:rFonts w:ascii="Times New Roman" w:hAnsi="Times New Roman"/>
          <w:sz w:val="24"/>
          <w:szCs w:val="24"/>
          <w:lang w:val="en-US" w:eastAsia="fr-BE"/>
        </w:rPr>
        <w:t>35</w:t>
      </w:r>
      <w:r>
        <w:rPr>
          <w:rFonts w:ascii="Times New Roman" w:hAnsi="Times New Roman"/>
          <w:sz w:val="24"/>
          <w:szCs w:val="24"/>
          <w:lang w:val="en-US" w:eastAsia="fr-BE"/>
        </w:rPr>
        <w:t xml:space="preserve"> units, instead of the 20 villages initially intended</w:t>
      </w:r>
      <w:r w:rsidRPr="00E3709D">
        <w:rPr>
          <w:rFonts w:ascii="Times New Roman" w:hAnsi="Times New Roman"/>
          <w:sz w:val="24"/>
          <w:szCs w:val="24"/>
          <w:lang w:val="en-US" w:eastAsia="fr-BE"/>
        </w:rPr>
        <w:t>.</w:t>
      </w:r>
      <w:r>
        <w:rPr>
          <w:rFonts w:ascii="Times New Roman" w:hAnsi="Times New Roman"/>
          <w:sz w:val="24"/>
          <w:szCs w:val="24"/>
          <w:lang w:val="en-US" w:eastAsia="fr-BE"/>
        </w:rPr>
        <w:t xml:space="preserve"> </w:t>
      </w:r>
    </w:p>
    <w:p w:rsidR="00F160AA" w:rsidRPr="00A12984" w:rsidRDefault="00B71B3E" w:rsidP="00A12984">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 xml:space="preserve">In practice, we slightly departed from the above procedure for the following reason. Given the central purpose of the study, which is to understand contract renewal behavior among subscriber households (and later enrollment of initially non-subscribing households), two successive survey rounds were planned. The first round took place in 2010 when the program started in the study area, and the same households were re-interviewed in 2011 after one year of experience had elapsed and the decision whether to renew the contract (or whether to enroll) had just been made. Because we wanted to have at least 300 subscriber households in the second round and the risk of attrition had to be taken into account, we increased the initial sample sizes beyond the aforementioned numbers </w:t>
      </w:r>
      <w:r w:rsidRPr="00680095">
        <w:rPr>
          <w:rFonts w:ascii="Times New Roman" w:hAnsi="Times New Roman"/>
          <w:sz w:val="24"/>
          <w:szCs w:val="24"/>
          <w:lang w:val="en-US" w:eastAsia="fr-BE"/>
        </w:rPr>
        <w:t>(to 315 for subscribers and 315 for non-subscribers).</w:t>
      </w:r>
      <w:r>
        <w:rPr>
          <w:rStyle w:val="Appelnotedebasdep"/>
          <w:rFonts w:ascii="Times New Roman" w:hAnsi="Times New Roman"/>
          <w:sz w:val="24"/>
          <w:szCs w:val="24"/>
          <w:lang w:val="en-US" w:eastAsia="fr-BE"/>
        </w:rPr>
        <w:footnoteReference w:id="6"/>
      </w:r>
      <w:r>
        <w:rPr>
          <w:rFonts w:ascii="Times New Roman" w:hAnsi="Times New Roman"/>
          <w:sz w:val="24"/>
          <w:szCs w:val="24"/>
          <w:lang w:val="en-US" w:eastAsia="fr-BE"/>
        </w:rPr>
        <w:t xml:space="preserve">  </w:t>
      </w:r>
      <w:r w:rsidRPr="00E3709D">
        <w:rPr>
          <w:rFonts w:ascii="Times New Roman" w:hAnsi="Times New Roman"/>
          <w:sz w:val="24"/>
          <w:szCs w:val="24"/>
          <w:lang w:val="en-US" w:eastAsia="fr-BE"/>
        </w:rPr>
        <w:t>The number of households</w:t>
      </w:r>
      <w:r>
        <w:rPr>
          <w:rFonts w:ascii="Times New Roman" w:hAnsi="Times New Roman"/>
          <w:sz w:val="24"/>
          <w:szCs w:val="24"/>
          <w:lang w:val="en-US" w:eastAsia="fr-BE"/>
        </w:rPr>
        <w:t xml:space="preserve"> in the treatment villages that we could trace back in 2011 was 554 </w:t>
      </w:r>
      <w:r w:rsidRPr="00680095">
        <w:rPr>
          <w:rFonts w:ascii="Times New Roman" w:hAnsi="Times New Roman"/>
          <w:sz w:val="24"/>
          <w:szCs w:val="24"/>
          <w:lang w:val="en-US" w:eastAsia="fr-BE"/>
        </w:rPr>
        <w:t>(corresponding to 2,629 individuals),</w:t>
      </w:r>
      <w:r>
        <w:rPr>
          <w:rFonts w:ascii="Times New Roman" w:hAnsi="Times New Roman"/>
          <w:sz w:val="24"/>
          <w:szCs w:val="24"/>
          <w:lang w:val="en-US" w:eastAsia="fr-BE"/>
        </w:rPr>
        <w:t xml:space="preserve"> consisting of 306 subscribers and 248 non-subscribers.</w:t>
      </w:r>
      <w:r>
        <w:rPr>
          <w:rStyle w:val="Appelnotedebasdep"/>
          <w:rFonts w:ascii="Times New Roman" w:hAnsi="Times New Roman"/>
          <w:sz w:val="24"/>
          <w:szCs w:val="24"/>
          <w:lang w:val="en-US" w:eastAsia="fr-BE"/>
        </w:rPr>
        <w:footnoteReference w:id="7"/>
      </w:r>
      <w:r w:rsidRPr="00E3709D">
        <w:rPr>
          <w:rFonts w:ascii="Times New Roman" w:hAnsi="Times New Roman"/>
          <w:sz w:val="24"/>
          <w:szCs w:val="24"/>
          <w:lang w:val="en-US" w:eastAsia="fr-BE"/>
        </w:rPr>
        <w:t xml:space="preserve"> </w:t>
      </w:r>
      <w:r>
        <w:rPr>
          <w:rFonts w:ascii="Times New Roman" w:hAnsi="Times New Roman"/>
          <w:sz w:val="24"/>
          <w:szCs w:val="24"/>
          <w:lang w:val="en-US" w:eastAsia="fr-BE"/>
        </w:rPr>
        <w:t xml:space="preserve">Clearly, attrition was more important among the latter than among the former households (21.3 % as against 2.9 %), a difference that arises from the weaker motivation of non-subscriber households to be re-interviewed rather than their higher </w:t>
      </w:r>
      <w:r>
        <w:rPr>
          <w:rFonts w:ascii="Times New Roman" w:hAnsi="Times New Roman"/>
          <w:sz w:val="24"/>
          <w:szCs w:val="24"/>
          <w:lang w:val="en-US" w:eastAsia="fr-BE"/>
        </w:rPr>
        <w:lastRenderedPageBreak/>
        <w:t>mobility.</w:t>
      </w:r>
      <w:r>
        <w:rPr>
          <w:rStyle w:val="Appelnotedebasdep"/>
          <w:rFonts w:ascii="Times New Roman" w:hAnsi="Times New Roman"/>
          <w:sz w:val="24"/>
          <w:szCs w:val="24"/>
          <w:lang w:val="en-US" w:eastAsia="fr-BE"/>
        </w:rPr>
        <w:footnoteReference w:id="8"/>
      </w:r>
      <w:r>
        <w:rPr>
          <w:rFonts w:ascii="Times New Roman" w:hAnsi="Times New Roman"/>
          <w:sz w:val="24"/>
          <w:szCs w:val="24"/>
          <w:lang w:val="en-US" w:eastAsia="fr-BE"/>
        </w:rPr>
        <w:t xml:space="preserve"> Note that the possible bias created by such a difference will not affect our results in so far as our basic econometric test will be based on the sample of initial subscriber households only. Finally, it is evident from Table 1 below that, out of the 306 initial subscribers whom we could re-interview in 2011, only 100 (less than one-third) chose to renew their insurance contract. On the other hand, only 9 out of 248 households which did not subscribe in 2010 (3.6 %) decided to enroll one year later.</w:t>
      </w:r>
    </w:p>
    <w:p w:rsidR="00B71B3E" w:rsidRPr="00770DE9" w:rsidRDefault="00B71B3E" w:rsidP="00E85223">
      <w:pPr>
        <w:spacing w:after="240" w:line="360" w:lineRule="auto"/>
        <w:rPr>
          <w:rFonts w:ascii="Times New Roman" w:hAnsi="Times New Roman"/>
          <w:i/>
          <w:sz w:val="24"/>
          <w:szCs w:val="24"/>
          <w:lang w:val="en-US" w:eastAsia="fr-BE"/>
        </w:rPr>
      </w:pPr>
      <w:r w:rsidRPr="00770DE9">
        <w:rPr>
          <w:rFonts w:ascii="Times New Roman" w:hAnsi="Times New Roman"/>
          <w:i/>
          <w:sz w:val="24"/>
          <w:szCs w:val="24"/>
          <w:lang w:val="en-US" w:eastAsia="fr-BE"/>
        </w:rPr>
        <w:t>Table 1: Sample of treated households as per their participation in the scheme (2010, 2011)</w:t>
      </w:r>
    </w:p>
    <w:p w:rsidR="00B71B3E" w:rsidRDefault="00B71B3E" w:rsidP="00B71B3E">
      <w:pPr>
        <w:spacing w:after="240" w:line="360" w:lineRule="auto"/>
        <w:jc w:val="center"/>
        <w:rPr>
          <w:rFonts w:ascii="Times New Roman" w:hAnsi="Times New Roman"/>
          <w:sz w:val="24"/>
          <w:szCs w:val="24"/>
          <w:lang w:val="en-US" w:eastAsia="fr-BE"/>
        </w:rPr>
      </w:pPr>
      <w:r>
        <w:object w:dxaOrig="10021" w:dyaOrig="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5pt;height:43.75pt" o:ole="">
            <v:imagedata r:id="rId10" o:title=""/>
          </v:shape>
          <o:OLEObject Type="Embed" ProgID="Excel.Sheet.12" ShapeID="_x0000_i1025" DrawAspect="Content" ObjectID="_1431905098" r:id="rId11"/>
        </w:object>
      </w:r>
    </w:p>
    <w:p w:rsidR="00B71B3E" w:rsidRDefault="00B71B3E" w:rsidP="00B71B3E">
      <w:pPr>
        <w:spacing w:after="240" w:line="360" w:lineRule="auto"/>
        <w:ind w:firstLine="426"/>
        <w:jc w:val="both"/>
        <w:rPr>
          <w:rFonts w:ascii="Times New Roman" w:hAnsi="Times New Roman"/>
          <w:bCs/>
          <w:sz w:val="24"/>
          <w:szCs w:val="24"/>
          <w:lang w:val="en-US" w:eastAsia="fr-BE"/>
        </w:rPr>
      </w:pPr>
      <w:r>
        <w:rPr>
          <w:rFonts w:ascii="Times New Roman" w:hAnsi="Times New Roman"/>
          <w:noProof/>
          <w:sz w:val="24"/>
          <w:szCs w:val="24"/>
          <w:lang w:val="en-US" w:eastAsia="fr-BE"/>
        </w:rPr>
        <w:t>We may now turn to presenting</w:t>
      </w:r>
      <w:r w:rsidRPr="005031FA">
        <w:rPr>
          <w:rFonts w:ascii="Times New Roman" w:hAnsi="Times New Roman"/>
          <w:bCs/>
          <w:sz w:val="24"/>
          <w:szCs w:val="24"/>
          <w:lang w:val="en-US" w:eastAsia="fr-BE"/>
        </w:rPr>
        <w:t xml:space="preserve"> descriptive </w:t>
      </w:r>
      <w:r>
        <w:rPr>
          <w:rFonts w:ascii="Times New Roman" w:hAnsi="Times New Roman"/>
          <w:bCs/>
          <w:sz w:val="24"/>
          <w:szCs w:val="24"/>
          <w:lang w:val="en-US" w:eastAsia="fr-BE"/>
        </w:rPr>
        <w:t>statistics of the sample</w:t>
      </w:r>
      <w:r w:rsidRPr="005031FA">
        <w:rPr>
          <w:rFonts w:ascii="Times New Roman" w:hAnsi="Times New Roman"/>
          <w:bCs/>
          <w:sz w:val="24"/>
          <w:szCs w:val="24"/>
          <w:lang w:val="en-US" w:eastAsia="fr-BE"/>
        </w:rPr>
        <w:t xml:space="preserve"> </w:t>
      </w:r>
      <w:r>
        <w:rPr>
          <w:rFonts w:ascii="Times New Roman" w:hAnsi="Times New Roman"/>
          <w:bCs/>
          <w:sz w:val="24"/>
          <w:szCs w:val="24"/>
          <w:lang w:val="en-US" w:eastAsia="fr-BE"/>
        </w:rPr>
        <w:t>households, distinguishing between subscribers and non-subscribers. These statistics relate to their socio-economic</w:t>
      </w:r>
      <w:r w:rsidRPr="005031FA">
        <w:rPr>
          <w:rFonts w:ascii="Times New Roman" w:hAnsi="Times New Roman"/>
          <w:bCs/>
          <w:sz w:val="24"/>
          <w:szCs w:val="24"/>
          <w:lang w:val="en-US" w:eastAsia="fr-BE"/>
        </w:rPr>
        <w:t xml:space="preserve"> </w:t>
      </w:r>
      <w:r>
        <w:rPr>
          <w:rFonts w:ascii="Times New Roman" w:hAnsi="Times New Roman"/>
          <w:bCs/>
          <w:sz w:val="24"/>
          <w:szCs w:val="24"/>
          <w:lang w:val="en-US" w:eastAsia="fr-BE"/>
        </w:rPr>
        <w:t>and health characteristics (see Table 2).</w:t>
      </w:r>
      <w:r w:rsidRPr="005031FA">
        <w:rPr>
          <w:rFonts w:ascii="Times New Roman" w:hAnsi="Times New Roman"/>
          <w:bCs/>
          <w:sz w:val="24"/>
          <w:szCs w:val="24"/>
          <w:lang w:val="en-US" w:eastAsia="fr-BE"/>
        </w:rPr>
        <w:t xml:space="preserve"> </w:t>
      </w:r>
    </w:p>
    <w:p w:rsidR="00BB013B" w:rsidRDefault="00B71B3E" w:rsidP="00B71B3E">
      <w:pPr>
        <w:spacing w:after="240" w:line="360" w:lineRule="auto"/>
        <w:ind w:firstLine="426"/>
        <w:jc w:val="both"/>
        <w:rPr>
          <w:rFonts w:ascii="Times New Roman" w:hAnsi="Times New Roman"/>
          <w:bCs/>
          <w:sz w:val="24"/>
          <w:szCs w:val="24"/>
          <w:lang w:val="en-US" w:eastAsia="fr-BE"/>
        </w:rPr>
      </w:pPr>
      <w:r>
        <w:rPr>
          <w:rFonts w:ascii="Times New Roman" w:hAnsi="Times New Roman"/>
          <w:bCs/>
          <w:sz w:val="24"/>
          <w:szCs w:val="24"/>
          <w:lang w:val="en-US" w:eastAsia="fr-BE"/>
        </w:rPr>
        <w:t>Most of the sample households</w:t>
      </w:r>
      <w:r w:rsidRPr="005031FA">
        <w:rPr>
          <w:rFonts w:ascii="Times New Roman" w:hAnsi="Times New Roman"/>
          <w:bCs/>
          <w:sz w:val="24"/>
          <w:szCs w:val="24"/>
          <w:lang w:val="en-US" w:eastAsia="fr-BE"/>
        </w:rPr>
        <w:t xml:space="preserve"> hav</w:t>
      </w:r>
      <w:r>
        <w:rPr>
          <w:rFonts w:ascii="Times New Roman" w:hAnsi="Times New Roman"/>
          <w:bCs/>
          <w:sz w:val="24"/>
          <w:szCs w:val="24"/>
          <w:lang w:val="en-US" w:eastAsia="fr-BE"/>
        </w:rPr>
        <w:t>e</w:t>
      </w:r>
      <w:r w:rsidRPr="005031FA">
        <w:rPr>
          <w:rFonts w:ascii="Times New Roman" w:hAnsi="Times New Roman"/>
          <w:bCs/>
          <w:sz w:val="24"/>
          <w:szCs w:val="24"/>
          <w:lang w:val="en-US" w:eastAsia="fr-BE"/>
        </w:rPr>
        <w:t xml:space="preserve"> a male head (</w:t>
      </w:r>
      <w:r w:rsidRPr="004142BD">
        <w:rPr>
          <w:rFonts w:ascii="Times New Roman" w:hAnsi="Times New Roman"/>
          <w:bCs/>
          <w:sz w:val="24"/>
          <w:szCs w:val="24"/>
          <w:lang w:val="en-US" w:eastAsia="fr-BE"/>
        </w:rPr>
        <w:t>91%</w:t>
      </w:r>
      <w:r>
        <w:rPr>
          <w:rFonts w:ascii="Times New Roman" w:hAnsi="Times New Roman"/>
          <w:bCs/>
          <w:sz w:val="24"/>
          <w:szCs w:val="24"/>
          <w:lang w:val="en-US" w:eastAsia="fr-BE"/>
        </w:rPr>
        <w:t>),</w:t>
      </w:r>
      <w:r w:rsidRPr="005031FA">
        <w:rPr>
          <w:rFonts w:ascii="Times New Roman" w:hAnsi="Times New Roman"/>
          <w:bCs/>
          <w:sz w:val="24"/>
          <w:szCs w:val="24"/>
          <w:lang w:val="en-US" w:eastAsia="fr-BE"/>
        </w:rPr>
        <w:t xml:space="preserve"> </w:t>
      </w:r>
      <w:r>
        <w:rPr>
          <w:rFonts w:ascii="Times New Roman" w:hAnsi="Times New Roman"/>
          <w:bCs/>
          <w:sz w:val="24"/>
          <w:szCs w:val="24"/>
          <w:lang w:val="en-US" w:eastAsia="fr-BE"/>
        </w:rPr>
        <w:t xml:space="preserve">and the average age of the head is </w:t>
      </w:r>
      <w:r w:rsidRPr="00C50AF1">
        <w:rPr>
          <w:rFonts w:ascii="Times New Roman" w:hAnsi="Times New Roman"/>
          <w:bCs/>
          <w:sz w:val="24"/>
          <w:szCs w:val="24"/>
          <w:lang w:val="en-US" w:eastAsia="fr-BE"/>
        </w:rPr>
        <w:t xml:space="preserve">44 years. </w:t>
      </w:r>
      <w:r>
        <w:rPr>
          <w:rFonts w:ascii="Times New Roman" w:hAnsi="Times New Roman"/>
          <w:bCs/>
          <w:sz w:val="24"/>
          <w:szCs w:val="24"/>
          <w:lang w:val="en-US" w:eastAsia="fr-BE"/>
        </w:rPr>
        <w:t xml:space="preserve">It is noteworthy that heads of subscriber households are significantly younger than </w:t>
      </w:r>
      <w:r w:rsidR="006D2A84">
        <w:rPr>
          <w:rFonts w:ascii="Times New Roman" w:hAnsi="Times New Roman"/>
          <w:bCs/>
          <w:sz w:val="24"/>
          <w:szCs w:val="24"/>
          <w:lang w:val="en-US" w:eastAsia="fr-BE"/>
        </w:rPr>
        <w:t xml:space="preserve">heads of </w:t>
      </w:r>
      <w:r>
        <w:rPr>
          <w:rFonts w:ascii="Times New Roman" w:hAnsi="Times New Roman"/>
          <w:bCs/>
          <w:sz w:val="24"/>
          <w:szCs w:val="24"/>
          <w:lang w:val="en-US" w:eastAsia="fr-BE"/>
        </w:rPr>
        <w:t xml:space="preserve">non-subscriber households. </w:t>
      </w:r>
      <w:r w:rsidRPr="00C50AF1">
        <w:rPr>
          <w:rFonts w:ascii="Times New Roman" w:hAnsi="Times New Roman"/>
          <w:bCs/>
          <w:sz w:val="24"/>
          <w:szCs w:val="24"/>
          <w:lang w:val="en-US" w:eastAsia="fr-BE"/>
        </w:rPr>
        <w:t>Regarding education, the duration of schooling of the household head is 6 years on average, and 72 % of them can read and write. Households have an average of 5 members.</w:t>
      </w:r>
      <w:r>
        <w:rPr>
          <w:rFonts w:ascii="Times New Roman" w:hAnsi="Times New Roman"/>
          <w:b/>
          <w:bCs/>
          <w:sz w:val="24"/>
          <w:szCs w:val="24"/>
          <w:lang w:val="en-US" w:eastAsia="fr-BE"/>
        </w:rPr>
        <w:t xml:space="preserve"> </w:t>
      </w:r>
      <w:r w:rsidRPr="00073615">
        <w:rPr>
          <w:rFonts w:ascii="Times New Roman" w:hAnsi="Times New Roman"/>
          <w:b/>
          <w:bCs/>
          <w:sz w:val="24"/>
          <w:szCs w:val="24"/>
          <w:lang w:val="en-US" w:eastAsia="fr-BE"/>
        </w:rPr>
        <w:t xml:space="preserve"> </w:t>
      </w:r>
      <w:r>
        <w:rPr>
          <w:rFonts w:ascii="Times New Roman" w:hAnsi="Times New Roman"/>
          <w:bCs/>
          <w:sz w:val="24"/>
          <w:szCs w:val="24"/>
          <w:lang w:val="en-US" w:eastAsia="fr-BE"/>
        </w:rPr>
        <w:t>T</w:t>
      </w:r>
      <w:r w:rsidRPr="00F828E4">
        <w:rPr>
          <w:rFonts w:ascii="Times New Roman" w:hAnsi="Times New Roman"/>
          <w:bCs/>
          <w:sz w:val="24"/>
          <w:szCs w:val="24"/>
          <w:lang w:val="en-US" w:eastAsia="fr-BE"/>
        </w:rPr>
        <w:t>o measure the wealth of the households</w:t>
      </w:r>
      <w:r>
        <w:rPr>
          <w:rFonts w:ascii="Times New Roman" w:hAnsi="Times New Roman"/>
          <w:bCs/>
          <w:sz w:val="24"/>
          <w:szCs w:val="24"/>
          <w:lang w:val="en-US" w:eastAsia="fr-BE"/>
        </w:rPr>
        <w:t>, we follow</w:t>
      </w:r>
      <w:r w:rsidRPr="00F828E4">
        <w:rPr>
          <w:rFonts w:ascii="Times New Roman" w:hAnsi="Times New Roman"/>
          <w:bCs/>
          <w:sz w:val="24"/>
          <w:szCs w:val="24"/>
          <w:lang w:val="en-US" w:eastAsia="fr-BE"/>
        </w:rPr>
        <w:t xml:space="preserve"> two approaches</w:t>
      </w:r>
      <w:r>
        <w:rPr>
          <w:rFonts w:ascii="Times New Roman" w:hAnsi="Times New Roman"/>
          <w:bCs/>
          <w:sz w:val="24"/>
          <w:szCs w:val="24"/>
          <w:lang w:val="en-US" w:eastAsia="fr-BE"/>
        </w:rPr>
        <w:t xml:space="preserve"> depending on whether we use incomes or</w:t>
      </w:r>
      <w:r w:rsidRPr="00F828E4">
        <w:rPr>
          <w:rFonts w:ascii="Times New Roman" w:hAnsi="Times New Roman"/>
          <w:bCs/>
          <w:sz w:val="24"/>
          <w:szCs w:val="24"/>
          <w:lang w:val="en-US" w:eastAsia="fr-BE"/>
        </w:rPr>
        <w:t xml:space="preserve"> assets</w:t>
      </w:r>
      <w:r>
        <w:rPr>
          <w:rFonts w:ascii="Times New Roman" w:hAnsi="Times New Roman"/>
          <w:bCs/>
          <w:sz w:val="24"/>
          <w:szCs w:val="24"/>
          <w:lang w:val="en-US" w:eastAsia="fr-BE"/>
        </w:rPr>
        <w:t xml:space="preserve">. </w:t>
      </w:r>
      <w:r w:rsidR="006D2A84">
        <w:rPr>
          <w:rFonts w:ascii="Times New Roman" w:hAnsi="Times New Roman"/>
          <w:bCs/>
          <w:sz w:val="24"/>
          <w:szCs w:val="24"/>
          <w:lang w:val="en-US" w:eastAsia="fr-BE"/>
        </w:rPr>
        <w:t>While income is measured continuously, t</w:t>
      </w:r>
      <w:r>
        <w:rPr>
          <w:rFonts w:ascii="Times New Roman" w:hAnsi="Times New Roman"/>
          <w:bCs/>
          <w:sz w:val="24"/>
          <w:szCs w:val="24"/>
          <w:lang w:val="en-US" w:eastAsia="fr-BE"/>
        </w:rPr>
        <w:t xml:space="preserve">he asset index is constructed by considering </w:t>
      </w:r>
      <w:r w:rsidRPr="00B31F3D">
        <w:rPr>
          <w:rFonts w:ascii="Times New Roman" w:hAnsi="Times New Roman"/>
          <w:bCs/>
          <w:sz w:val="24"/>
          <w:szCs w:val="24"/>
          <w:lang w:val="en-US" w:eastAsia="fr-BE"/>
        </w:rPr>
        <w:t>several binary</w:t>
      </w:r>
      <w:r>
        <w:rPr>
          <w:rFonts w:ascii="Times New Roman" w:hAnsi="Times New Roman"/>
          <w:bCs/>
          <w:sz w:val="24"/>
          <w:szCs w:val="24"/>
          <w:lang w:val="en-US" w:eastAsia="fr-BE"/>
        </w:rPr>
        <w:t xml:space="preserve"> </w:t>
      </w:r>
      <w:r w:rsidRPr="00B31F3D">
        <w:rPr>
          <w:rFonts w:ascii="Times New Roman" w:hAnsi="Times New Roman"/>
          <w:bCs/>
          <w:sz w:val="24"/>
          <w:szCs w:val="24"/>
          <w:lang w:val="en-US" w:eastAsia="fr-BE"/>
        </w:rPr>
        <w:t>asset ownership variables</w:t>
      </w:r>
      <w:r>
        <w:rPr>
          <w:rFonts w:ascii="Times New Roman" w:hAnsi="Times New Roman"/>
          <w:bCs/>
          <w:sz w:val="24"/>
          <w:szCs w:val="24"/>
          <w:lang w:val="en-US" w:eastAsia="fr-BE"/>
        </w:rPr>
        <w:t xml:space="preserve"> (the questions are reproduced in </w:t>
      </w:r>
      <w:r w:rsidRPr="00C50AF1">
        <w:rPr>
          <w:rFonts w:ascii="Times New Roman" w:hAnsi="Times New Roman"/>
          <w:bCs/>
          <w:sz w:val="24"/>
          <w:szCs w:val="24"/>
          <w:lang w:val="en-US" w:eastAsia="fr-BE"/>
        </w:rPr>
        <w:t>Appendix A)</w:t>
      </w:r>
      <w:r>
        <w:rPr>
          <w:rFonts w:ascii="Times New Roman" w:hAnsi="Times New Roman"/>
          <w:bCs/>
          <w:sz w:val="24"/>
          <w:szCs w:val="24"/>
          <w:lang w:val="en-US" w:eastAsia="fr-BE"/>
        </w:rPr>
        <w:t xml:space="preserve">. </w:t>
      </w:r>
      <w:r w:rsidRPr="00A203ED">
        <w:rPr>
          <w:rFonts w:ascii="Times New Roman" w:hAnsi="Times New Roman"/>
          <w:bCs/>
          <w:sz w:val="24"/>
          <w:szCs w:val="24"/>
          <w:lang w:val="en-US" w:eastAsia="fr-BE"/>
        </w:rPr>
        <w:t>Th</w:t>
      </w:r>
      <w:r>
        <w:rPr>
          <w:rFonts w:ascii="Times New Roman" w:hAnsi="Times New Roman"/>
          <w:bCs/>
          <w:sz w:val="24"/>
          <w:szCs w:val="24"/>
          <w:lang w:val="en-US" w:eastAsia="fr-BE"/>
        </w:rPr>
        <w:t>e</w:t>
      </w:r>
      <w:r w:rsidRPr="00A203ED">
        <w:rPr>
          <w:rFonts w:ascii="Times New Roman" w:hAnsi="Times New Roman"/>
          <w:bCs/>
          <w:sz w:val="24"/>
          <w:szCs w:val="24"/>
          <w:lang w:val="en-US" w:eastAsia="fr-BE"/>
        </w:rPr>
        <w:t xml:space="preserve"> index</w:t>
      </w:r>
      <w:r>
        <w:rPr>
          <w:rFonts w:ascii="Times New Roman" w:hAnsi="Times New Roman"/>
          <w:bCs/>
          <w:sz w:val="24"/>
          <w:szCs w:val="24"/>
          <w:lang w:val="en-US" w:eastAsia="fr-BE"/>
        </w:rPr>
        <w:t xml:space="preserve"> was</w:t>
      </w:r>
      <w:r w:rsidRPr="00A203ED">
        <w:rPr>
          <w:rFonts w:ascii="Times New Roman" w:hAnsi="Times New Roman"/>
          <w:bCs/>
          <w:sz w:val="24"/>
          <w:szCs w:val="24"/>
          <w:lang w:val="en-US" w:eastAsia="fr-BE"/>
        </w:rPr>
        <w:t xml:space="preserve"> obtained </w:t>
      </w:r>
      <w:r w:rsidRPr="00A203ED">
        <w:rPr>
          <w:rFonts w:ascii="Times New Roman" w:hAnsi="Times New Roman"/>
          <w:sz w:val="24"/>
          <w:szCs w:val="24"/>
          <w:lang w:val="en-US"/>
        </w:rPr>
        <w:t>by applying Multiple Correspondence Analysis (MCA)</w:t>
      </w:r>
      <w:r w:rsidRPr="00E3709D">
        <w:rPr>
          <w:rStyle w:val="Appelnotedebasdep"/>
          <w:rFonts w:ascii="Times New Roman" w:hAnsi="Times New Roman"/>
          <w:sz w:val="24"/>
          <w:szCs w:val="24"/>
          <w:lang w:val="en-US"/>
        </w:rPr>
        <w:footnoteReference w:id="9"/>
      </w:r>
      <w:r>
        <w:rPr>
          <w:rFonts w:ascii="Times New Roman" w:hAnsi="Times New Roman"/>
          <w:sz w:val="24"/>
          <w:szCs w:val="24"/>
          <w:lang w:val="en-US"/>
        </w:rPr>
        <w:t>.</w:t>
      </w:r>
      <w:r>
        <w:rPr>
          <w:rFonts w:ascii="Times New Roman" w:hAnsi="Times New Roman"/>
          <w:bCs/>
          <w:sz w:val="24"/>
          <w:szCs w:val="24"/>
          <w:lang w:val="en-US" w:eastAsia="fr-BE"/>
        </w:rPr>
        <w:t xml:space="preserve"> Both measures of wealth describe a negative asymmetric shape, and display a linear correlation of </w:t>
      </w:r>
      <w:r w:rsidRPr="006107FF">
        <w:rPr>
          <w:rFonts w:ascii="Times New Roman" w:hAnsi="Times New Roman"/>
          <w:bCs/>
          <w:sz w:val="24"/>
          <w:szCs w:val="24"/>
          <w:lang w:val="en-US" w:eastAsia="fr-BE"/>
        </w:rPr>
        <w:t>0.39.</w:t>
      </w:r>
      <w:r>
        <w:rPr>
          <w:rFonts w:ascii="Times New Roman" w:hAnsi="Times New Roman"/>
          <w:b/>
          <w:bCs/>
          <w:sz w:val="24"/>
          <w:szCs w:val="24"/>
          <w:lang w:val="en-US" w:eastAsia="fr-BE"/>
        </w:rPr>
        <w:t xml:space="preserve"> </w:t>
      </w:r>
      <w:r w:rsidRPr="00C50AF1">
        <w:rPr>
          <w:rFonts w:ascii="Times New Roman" w:hAnsi="Times New Roman"/>
          <w:bCs/>
          <w:sz w:val="24"/>
          <w:szCs w:val="24"/>
          <w:lang w:val="en-US" w:eastAsia="fr-BE"/>
        </w:rPr>
        <w:t xml:space="preserve">While the average income in the sample is 2,820 Rupees, the median income is only 708 Rupees.  </w:t>
      </w:r>
      <w:r>
        <w:rPr>
          <w:rFonts w:ascii="Times New Roman" w:hAnsi="Times New Roman"/>
          <w:bCs/>
          <w:sz w:val="24"/>
          <w:szCs w:val="24"/>
          <w:lang w:val="en-US" w:eastAsia="fr-BE"/>
        </w:rPr>
        <w:t xml:space="preserve">Subscriber households do not significantly differ from non-subscriber households in terms of incomes and wealth. </w:t>
      </w:r>
    </w:p>
    <w:p w:rsidR="00B71B3E" w:rsidRDefault="00BB013B" w:rsidP="00B71B3E">
      <w:pPr>
        <w:spacing w:after="240" w:line="360" w:lineRule="auto"/>
        <w:ind w:firstLine="426"/>
        <w:jc w:val="both"/>
        <w:rPr>
          <w:rFonts w:ascii="Times New Roman" w:hAnsi="Times New Roman"/>
          <w:bCs/>
          <w:sz w:val="24"/>
          <w:szCs w:val="24"/>
          <w:lang w:val="en-US" w:eastAsia="fr-BE"/>
        </w:rPr>
      </w:pPr>
      <w:r>
        <w:rPr>
          <w:rFonts w:ascii="Times New Roman" w:hAnsi="Times New Roman"/>
          <w:bCs/>
          <w:sz w:val="24"/>
          <w:szCs w:val="24"/>
          <w:lang w:val="en-US" w:eastAsia="fr-BE"/>
        </w:rPr>
        <w:t>The incidence of health shocks has been measured both before the start of the program</w:t>
      </w:r>
      <w:r w:rsidR="00745448">
        <w:rPr>
          <w:rFonts w:ascii="Times New Roman" w:hAnsi="Times New Roman"/>
          <w:bCs/>
          <w:sz w:val="24"/>
          <w:szCs w:val="24"/>
          <w:lang w:val="en-US" w:eastAsia="fr-BE"/>
        </w:rPr>
        <w:t xml:space="preserve"> (with the label </w:t>
      </w:r>
      <w:r w:rsidR="00745448">
        <w:rPr>
          <w:rFonts w:ascii="Times New Roman" w:hAnsi="Times New Roman"/>
          <w:bCs/>
          <w:i/>
          <w:sz w:val="24"/>
          <w:szCs w:val="24"/>
          <w:lang w:val="en-US" w:eastAsia="fr-BE"/>
        </w:rPr>
        <w:t>sick_member_past</w:t>
      </w:r>
      <w:r w:rsidR="00745448">
        <w:rPr>
          <w:rFonts w:ascii="Times New Roman" w:hAnsi="Times New Roman"/>
          <w:bCs/>
          <w:sz w:val="24"/>
          <w:szCs w:val="24"/>
          <w:lang w:val="en-US" w:eastAsia="fr-BE"/>
        </w:rPr>
        <w:t>)</w:t>
      </w:r>
      <w:r>
        <w:rPr>
          <w:rFonts w:ascii="Times New Roman" w:hAnsi="Times New Roman"/>
          <w:bCs/>
          <w:sz w:val="24"/>
          <w:szCs w:val="24"/>
          <w:lang w:val="en-US" w:eastAsia="fr-BE"/>
        </w:rPr>
        <w:t xml:space="preserve"> and to</w:t>
      </w:r>
      <w:r w:rsidR="00745448">
        <w:rPr>
          <w:rFonts w:ascii="Times New Roman" w:hAnsi="Times New Roman"/>
          <w:bCs/>
          <w:sz w:val="24"/>
          <w:szCs w:val="24"/>
          <w:lang w:val="en-US" w:eastAsia="fr-BE"/>
        </w:rPr>
        <w:t xml:space="preserve">ward the end of the first year </w:t>
      </w:r>
      <w:r>
        <w:rPr>
          <w:rFonts w:ascii="Times New Roman" w:hAnsi="Times New Roman"/>
          <w:bCs/>
          <w:sz w:val="24"/>
          <w:szCs w:val="24"/>
          <w:lang w:val="en-US" w:eastAsia="fr-BE"/>
        </w:rPr>
        <w:t>after</w:t>
      </w:r>
      <w:r w:rsidR="00745448">
        <w:rPr>
          <w:rFonts w:ascii="Times New Roman" w:hAnsi="Times New Roman"/>
          <w:bCs/>
          <w:sz w:val="24"/>
          <w:szCs w:val="24"/>
          <w:lang w:val="en-US" w:eastAsia="fr-BE"/>
        </w:rPr>
        <w:t xml:space="preserve"> the contract had </w:t>
      </w:r>
      <w:r w:rsidR="00745448">
        <w:rPr>
          <w:rFonts w:ascii="Times New Roman" w:hAnsi="Times New Roman"/>
          <w:bCs/>
          <w:sz w:val="24"/>
          <w:szCs w:val="24"/>
          <w:lang w:val="en-US" w:eastAsia="fr-BE"/>
        </w:rPr>
        <w:lastRenderedPageBreak/>
        <w:t xml:space="preserve">to be renewed (with the label </w:t>
      </w:r>
      <w:r w:rsidR="00745448">
        <w:rPr>
          <w:rFonts w:ascii="Times New Roman" w:hAnsi="Times New Roman"/>
          <w:bCs/>
          <w:i/>
          <w:sz w:val="24"/>
          <w:szCs w:val="24"/>
          <w:lang w:val="en-US" w:eastAsia="fr-BE"/>
        </w:rPr>
        <w:t>sick_member_present</w:t>
      </w:r>
      <w:r w:rsidR="00745448">
        <w:rPr>
          <w:rFonts w:ascii="Times New Roman" w:hAnsi="Times New Roman"/>
          <w:bCs/>
          <w:sz w:val="24"/>
          <w:szCs w:val="24"/>
          <w:lang w:val="en-US" w:eastAsia="fr-BE"/>
        </w:rPr>
        <w:t>)</w:t>
      </w:r>
      <w:r>
        <w:rPr>
          <w:rFonts w:ascii="Times New Roman" w:hAnsi="Times New Roman"/>
          <w:bCs/>
          <w:sz w:val="24"/>
          <w:szCs w:val="24"/>
          <w:lang w:val="en-US" w:eastAsia="fr-BE"/>
        </w:rPr>
        <w:t>. Table 2</w:t>
      </w:r>
      <w:r w:rsidR="00B71B3E" w:rsidRPr="00C50AF1">
        <w:rPr>
          <w:rFonts w:ascii="Times New Roman" w:hAnsi="Times New Roman"/>
          <w:bCs/>
          <w:sz w:val="24"/>
          <w:szCs w:val="24"/>
          <w:lang w:val="en-US" w:eastAsia="fr-BE"/>
        </w:rPr>
        <w:t xml:space="preserve"> shows that health shocks affecting a family member are quite frequent in the sample: in 89% of the households, a</w:t>
      </w:r>
      <w:r w:rsidR="00C41790">
        <w:rPr>
          <w:rFonts w:ascii="Times New Roman" w:hAnsi="Times New Roman"/>
          <w:bCs/>
          <w:sz w:val="24"/>
          <w:szCs w:val="24"/>
          <w:lang w:val="en-US" w:eastAsia="fr-BE"/>
        </w:rPr>
        <w:t>t least one member fell</w:t>
      </w:r>
      <w:r w:rsidR="00B71B3E" w:rsidRPr="00C50AF1">
        <w:rPr>
          <w:rFonts w:ascii="Times New Roman" w:hAnsi="Times New Roman"/>
          <w:bCs/>
          <w:sz w:val="24"/>
          <w:szCs w:val="24"/>
          <w:lang w:val="en-US" w:eastAsia="fr-BE"/>
        </w:rPr>
        <w:t xml:space="preserve"> </w:t>
      </w:r>
      <w:r w:rsidR="00C41790">
        <w:rPr>
          <w:rFonts w:ascii="Times New Roman" w:hAnsi="Times New Roman"/>
          <w:bCs/>
          <w:sz w:val="24"/>
          <w:szCs w:val="24"/>
          <w:lang w:val="en-US" w:eastAsia="fr-BE"/>
        </w:rPr>
        <w:t>sick</w:t>
      </w:r>
      <w:r w:rsidR="00B71B3E" w:rsidRPr="00C50AF1">
        <w:rPr>
          <w:rFonts w:ascii="Times New Roman" w:hAnsi="Times New Roman"/>
          <w:bCs/>
          <w:sz w:val="24"/>
          <w:szCs w:val="24"/>
          <w:lang w:val="en-US" w:eastAsia="fr-BE"/>
        </w:rPr>
        <w:t xml:space="preserve"> during </w:t>
      </w:r>
      <w:r w:rsidR="00B71B3E">
        <w:rPr>
          <w:rFonts w:ascii="Times New Roman" w:hAnsi="Times New Roman"/>
          <w:bCs/>
          <w:sz w:val="24"/>
          <w:szCs w:val="24"/>
          <w:lang w:val="en-US" w:eastAsia="fr-BE"/>
        </w:rPr>
        <w:t>the</w:t>
      </w:r>
      <w:r w:rsidR="00B71B3E" w:rsidRPr="00C50AF1">
        <w:rPr>
          <w:rFonts w:ascii="Times New Roman" w:hAnsi="Times New Roman"/>
          <w:bCs/>
          <w:sz w:val="24"/>
          <w:szCs w:val="24"/>
          <w:lang w:val="en-US" w:eastAsia="fr-BE"/>
        </w:rPr>
        <w:t xml:space="preserve"> year</w:t>
      </w:r>
      <w:r w:rsidR="00B71B3E">
        <w:rPr>
          <w:rFonts w:ascii="Times New Roman" w:hAnsi="Times New Roman"/>
          <w:bCs/>
          <w:sz w:val="24"/>
          <w:szCs w:val="24"/>
          <w:lang w:val="en-US" w:eastAsia="fr-BE"/>
        </w:rPr>
        <w:t xml:space="preserve"> covered by our survey (2010-2011), testifying to the high incidence of</w:t>
      </w:r>
      <w:r w:rsidR="00B71B3E" w:rsidRPr="004B0A27">
        <w:rPr>
          <w:rFonts w:ascii="Times New Roman" w:hAnsi="Times New Roman"/>
          <w:bCs/>
          <w:sz w:val="24"/>
          <w:szCs w:val="24"/>
          <w:lang w:val="en-US" w:eastAsia="fr-BE"/>
        </w:rPr>
        <w:t xml:space="preserve"> </w:t>
      </w:r>
      <w:r w:rsidR="00B71B3E">
        <w:rPr>
          <w:rFonts w:ascii="Times New Roman" w:hAnsi="Times New Roman"/>
          <w:bCs/>
          <w:sz w:val="24"/>
          <w:szCs w:val="24"/>
          <w:lang w:val="en-US" w:eastAsia="fr-BE"/>
        </w:rPr>
        <w:t>h</w:t>
      </w:r>
      <w:r w:rsidR="00B71B3E" w:rsidRPr="001C1F17">
        <w:rPr>
          <w:rFonts w:ascii="Times New Roman" w:hAnsi="Times New Roman"/>
          <w:bCs/>
          <w:sz w:val="24"/>
          <w:szCs w:val="24"/>
          <w:lang w:val="en-US" w:eastAsia="fr-BE"/>
        </w:rPr>
        <w:t xml:space="preserve">ealth </w:t>
      </w:r>
      <w:r w:rsidR="006A52D5">
        <w:rPr>
          <w:rFonts w:ascii="Times New Roman" w:hAnsi="Times New Roman"/>
          <w:bCs/>
          <w:sz w:val="24"/>
          <w:szCs w:val="24"/>
          <w:lang w:val="en-US" w:eastAsia="fr-BE"/>
        </w:rPr>
        <w:t>risks</w:t>
      </w:r>
      <w:r w:rsidR="00B71B3E">
        <w:rPr>
          <w:rFonts w:ascii="Times New Roman" w:hAnsi="Times New Roman"/>
          <w:bCs/>
          <w:sz w:val="24"/>
          <w:szCs w:val="24"/>
          <w:lang w:val="en-US" w:eastAsia="fr-BE"/>
        </w:rPr>
        <w:t xml:space="preserve"> in </w:t>
      </w:r>
      <w:r w:rsidR="00B71B3E" w:rsidRPr="004B0A27">
        <w:rPr>
          <w:rFonts w:ascii="Times New Roman" w:hAnsi="Times New Roman"/>
          <w:bCs/>
          <w:sz w:val="24"/>
          <w:szCs w:val="24"/>
          <w:lang w:val="en-US" w:eastAsia="fr-BE"/>
        </w:rPr>
        <w:t>the</w:t>
      </w:r>
      <w:r w:rsidR="00B71B3E">
        <w:rPr>
          <w:rFonts w:ascii="Times New Roman" w:hAnsi="Times New Roman"/>
          <w:bCs/>
          <w:sz w:val="24"/>
          <w:szCs w:val="24"/>
          <w:lang w:val="en-US" w:eastAsia="fr-BE"/>
        </w:rPr>
        <w:t xml:space="preserve"> </w:t>
      </w:r>
      <w:r w:rsidR="00B71B3E" w:rsidRPr="004B0A27">
        <w:rPr>
          <w:rFonts w:ascii="Times New Roman" w:hAnsi="Times New Roman"/>
          <w:bCs/>
          <w:sz w:val="24"/>
          <w:szCs w:val="24"/>
          <w:lang w:val="en-US" w:eastAsia="fr-BE"/>
        </w:rPr>
        <w:t xml:space="preserve">study </w:t>
      </w:r>
      <w:r w:rsidR="00B71B3E">
        <w:rPr>
          <w:rFonts w:ascii="Times New Roman" w:hAnsi="Times New Roman"/>
          <w:bCs/>
          <w:sz w:val="24"/>
          <w:szCs w:val="24"/>
          <w:lang w:val="en-US" w:eastAsia="fr-BE"/>
        </w:rPr>
        <w:t>area</w:t>
      </w:r>
      <w:r w:rsidR="00B71B3E" w:rsidRPr="004B0A27">
        <w:rPr>
          <w:rFonts w:ascii="Times New Roman" w:hAnsi="Times New Roman"/>
          <w:bCs/>
          <w:sz w:val="24"/>
          <w:szCs w:val="24"/>
          <w:lang w:val="en-US" w:eastAsia="fr-BE"/>
        </w:rPr>
        <w:t>.</w:t>
      </w:r>
      <w:r w:rsidR="00B71B3E">
        <w:rPr>
          <w:rFonts w:ascii="Times New Roman" w:hAnsi="Times New Roman"/>
          <w:bCs/>
          <w:sz w:val="24"/>
          <w:szCs w:val="24"/>
          <w:lang w:val="en-US" w:eastAsia="fr-BE"/>
        </w:rPr>
        <w:t xml:space="preserve"> </w:t>
      </w:r>
      <w:r>
        <w:rPr>
          <w:rFonts w:ascii="Times New Roman" w:hAnsi="Times New Roman"/>
          <w:bCs/>
          <w:sz w:val="24"/>
          <w:szCs w:val="24"/>
          <w:lang w:val="en-US" w:eastAsia="fr-BE"/>
        </w:rPr>
        <w:t>However, w</w:t>
      </w:r>
      <w:r w:rsidR="00B71B3E">
        <w:rPr>
          <w:rFonts w:ascii="Times New Roman" w:hAnsi="Times New Roman"/>
          <w:bCs/>
          <w:sz w:val="24"/>
          <w:szCs w:val="24"/>
          <w:lang w:val="en-US" w:eastAsia="fr-BE"/>
        </w:rPr>
        <w:t>e cannot reject the null hypothesis that the probability of a health event is identical between the two subgroups of households.</w:t>
      </w:r>
      <w:r>
        <w:rPr>
          <w:rFonts w:ascii="Times New Roman" w:hAnsi="Times New Roman"/>
          <w:bCs/>
          <w:sz w:val="24"/>
          <w:szCs w:val="24"/>
          <w:lang w:val="en-US" w:eastAsia="fr-BE"/>
        </w:rPr>
        <w:t xml:space="preserve"> This observation is</w:t>
      </w:r>
      <w:r w:rsidR="005F3F85">
        <w:rPr>
          <w:rFonts w:ascii="Times New Roman" w:hAnsi="Times New Roman"/>
          <w:bCs/>
          <w:sz w:val="24"/>
          <w:szCs w:val="24"/>
          <w:lang w:val="en-US" w:eastAsia="fr-BE"/>
        </w:rPr>
        <w:t xml:space="preserve"> important</w:t>
      </w:r>
      <w:r w:rsidR="00844B6C">
        <w:rPr>
          <w:rFonts w:ascii="Times New Roman" w:hAnsi="Times New Roman"/>
          <w:bCs/>
          <w:sz w:val="24"/>
          <w:szCs w:val="24"/>
          <w:lang w:val="en-US" w:eastAsia="fr-BE"/>
        </w:rPr>
        <w:t xml:space="preserve"> since it is</w:t>
      </w:r>
      <w:r w:rsidR="005F3F85">
        <w:rPr>
          <w:rFonts w:ascii="Times New Roman" w:hAnsi="Times New Roman"/>
          <w:bCs/>
          <w:sz w:val="24"/>
          <w:szCs w:val="24"/>
          <w:lang w:val="en-US" w:eastAsia="fr-BE"/>
        </w:rPr>
        <w:t xml:space="preserve"> preliminary evidence</w:t>
      </w:r>
      <w:r>
        <w:rPr>
          <w:rFonts w:ascii="Times New Roman" w:hAnsi="Times New Roman"/>
          <w:bCs/>
          <w:sz w:val="24"/>
          <w:szCs w:val="24"/>
          <w:lang w:val="en-US" w:eastAsia="fr-BE"/>
        </w:rPr>
        <w:t xml:space="preserve"> that moral hazard behavior should not be a concern in the case under study.</w:t>
      </w:r>
      <w:r w:rsidR="005F3F85" w:rsidRPr="005F3F85">
        <w:rPr>
          <w:rFonts w:ascii="Times New Roman" w:hAnsi="Times New Roman"/>
          <w:bCs/>
          <w:sz w:val="24"/>
          <w:szCs w:val="24"/>
          <w:lang w:val="en-US" w:eastAsia="fr-BE"/>
        </w:rPr>
        <w:t xml:space="preserve"> </w:t>
      </w:r>
      <w:r w:rsidR="005F3F85">
        <w:rPr>
          <w:rFonts w:ascii="Times New Roman" w:hAnsi="Times New Roman"/>
          <w:bCs/>
          <w:sz w:val="24"/>
          <w:szCs w:val="24"/>
          <w:lang w:val="en-US" w:eastAsia="fr-BE"/>
        </w:rPr>
        <w:t xml:space="preserve">Moreover, </w:t>
      </w:r>
      <w:r w:rsidR="00844B6C">
        <w:rPr>
          <w:rFonts w:ascii="Times New Roman" w:hAnsi="Times New Roman"/>
          <w:bCs/>
          <w:sz w:val="24"/>
          <w:szCs w:val="24"/>
          <w:lang w:val="en-US" w:eastAsia="fr-BE"/>
        </w:rPr>
        <w:t>the absence of difference in the incidence of health events between subscribers and non-subscribers is also confirmed when we</w:t>
      </w:r>
      <w:r w:rsidR="00CF1B07">
        <w:rPr>
          <w:rFonts w:ascii="Times New Roman" w:hAnsi="Times New Roman"/>
          <w:bCs/>
          <w:sz w:val="24"/>
          <w:szCs w:val="24"/>
          <w:lang w:val="en-US" w:eastAsia="fr-BE"/>
        </w:rPr>
        <w:t xml:space="preserve"> consider</w:t>
      </w:r>
      <w:r w:rsidR="005F3F85">
        <w:rPr>
          <w:rFonts w:ascii="Times New Roman" w:hAnsi="Times New Roman"/>
          <w:bCs/>
          <w:sz w:val="24"/>
          <w:szCs w:val="24"/>
          <w:lang w:val="en-US" w:eastAsia="fr-BE"/>
        </w:rPr>
        <w:t xml:space="preserve"> the </w:t>
      </w:r>
      <w:r w:rsidR="00844B6C">
        <w:rPr>
          <w:rFonts w:ascii="Times New Roman" w:hAnsi="Times New Roman"/>
          <w:bCs/>
          <w:sz w:val="24"/>
          <w:szCs w:val="24"/>
          <w:lang w:val="en-US" w:eastAsia="fr-BE"/>
        </w:rPr>
        <w:t>year preceding the start of the program</w:t>
      </w:r>
      <w:r w:rsidR="005F3F85">
        <w:rPr>
          <w:rFonts w:ascii="Times New Roman" w:hAnsi="Times New Roman"/>
          <w:bCs/>
          <w:sz w:val="24"/>
          <w:szCs w:val="24"/>
          <w:lang w:val="en-US" w:eastAsia="fr-BE"/>
        </w:rPr>
        <w:t>.</w:t>
      </w:r>
      <w:r w:rsidR="00844B6C">
        <w:rPr>
          <w:rFonts w:ascii="Times New Roman" w:hAnsi="Times New Roman"/>
          <w:bCs/>
          <w:sz w:val="24"/>
          <w:szCs w:val="24"/>
          <w:lang w:val="en-US" w:eastAsia="fr-BE"/>
        </w:rPr>
        <w:t xml:space="preserve"> This suggests that one </w:t>
      </w:r>
      <w:r w:rsidR="00CC3FE9">
        <w:rPr>
          <w:rFonts w:ascii="Times New Roman" w:hAnsi="Times New Roman"/>
          <w:bCs/>
          <w:sz w:val="24"/>
          <w:szCs w:val="24"/>
          <w:lang w:val="en-US" w:eastAsia="fr-BE"/>
        </w:rPr>
        <w:t xml:space="preserve">important </w:t>
      </w:r>
      <w:r w:rsidR="00844B6C">
        <w:rPr>
          <w:rFonts w:ascii="Times New Roman" w:hAnsi="Times New Roman"/>
          <w:bCs/>
          <w:sz w:val="24"/>
          <w:szCs w:val="24"/>
          <w:lang w:val="en-US" w:eastAsia="fr-BE"/>
        </w:rPr>
        <w:t>source of adverse selection (people with more fragile health are more prone to take up health insurance) is not likely to be present. Note that the same conclusions are obtained if, instead of measuring health shocks by a binary variable (whether at least one member of the household has been sick during the period considered), we use a continuous measure indicating the number of illnesses inside a household.</w:t>
      </w:r>
    </w:p>
    <w:p w:rsidR="00E013FB" w:rsidRDefault="00BB013B" w:rsidP="00187136">
      <w:pPr>
        <w:spacing w:after="240" w:line="360" w:lineRule="auto"/>
        <w:ind w:firstLine="426"/>
        <w:jc w:val="both"/>
        <w:rPr>
          <w:rFonts w:ascii="Times New Roman" w:hAnsi="Times New Roman"/>
          <w:bCs/>
          <w:sz w:val="24"/>
          <w:szCs w:val="24"/>
          <w:lang w:val="en-US" w:eastAsia="fr-BE"/>
        </w:rPr>
      </w:pPr>
      <w:r>
        <w:rPr>
          <w:rFonts w:ascii="Times New Roman" w:hAnsi="Times New Roman"/>
          <w:bCs/>
          <w:sz w:val="24"/>
          <w:szCs w:val="24"/>
          <w:lang w:val="en-US" w:eastAsia="fr-BE"/>
        </w:rPr>
        <w:t xml:space="preserve"> </w:t>
      </w:r>
      <w:r w:rsidR="00616E8C">
        <w:rPr>
          <w:rFonts w:ascii="Times New Roman" w:hAnsi="Times New Roman"/>
          <w:bCs/>
          <w:sz w:val="24"/>
          <w:szCs w:val="24"/>
          <w:lang w:val="en-US" w:eastAsia="fr-BE"/>
        </w:rPr>
        <w:t>Another variable that we have measured twice</w:t>
      </w:r>
      <w:r w:rsidR="00766A27">
        <w:rPr>
          <w:rFonts w:ascii="Times New Roman" w:hAnsi="Times New Roman"/>
          <w:bCs/>
          <w:sz w:val="24"/>
          <w:szCs w:val="24"/>
          <w:lang w:val="en-US" w:eastAsia="fr-BE"/>
        </w:rPr>
        <w:t xml:space="preserve"> along the time scale</w:t>
      </w:r>
      <w:r w:rsidR="00616E8C">
        <w:rPr>
          <w:rFonts w:ascii="Times New Roman" w:hAnsi="Times New Roman"/>
          <w:bCs/>
          <w:sz w:val="24"/>
          <w:szCs w:val="24"/>
          <w:lang w:val="en-US" w:eastAsia="fr-BE"/>
        </w:rPr>
        <w:t xml:space="preserve"> is the so-called prevention index. </w:t>
      </w:r>
      <w:r>
        <w:rPr>
          <w:rFonts w:ascii="Times New Roman" w:hAnsi="Times New Roman"/>
          <w:bCs/>
          <w:sz w:val="24"/>
          <w:szCs w:val="24"/>
          <w:lang w:val="en-US" w:eastAsia="fr-BE"/>
        </w:rPr>
        <w:t xml:space="preserve">It </w:t>
      </w:r>
      <w:r w:rsidR="00B71B3E">
        <w:rPr>
          <w:rFonts w:ascii="Times New Roman" w:hAnsi="Times New Roman"/>
          <w:bCs/>
          <w:sz w:val="24"/>
          <w:szCs w:val="24"/>
          <w:lang w:val="en-US" w:eastAsia="fr-BE"/>
        </w:rPr>
        <w:t xml:space="preserve">is based on variables measuring the knowledge of households regarding basics in health care, personal hygiene, nutrition, sanitation, and water handling (the questions are reproduced </w:t>
      </w:r>
      <w:r w:rsidR="00B71B3E" w:rsidRPr="004142BD">
        <w:rPr>
          <w:rFonts w:ascii="Times New Roman" w:hAnsi="Times New Roman"/>
          <w:bCs/>
          <w:sz w:val="24"/>
          <w:szCs w:val="24"/>
          <w:lang w:val="en-US" w:eastAsia="fr-BE"/>
        </w:rPr>
        <w:t>in Appendix A).</w:t>
      </w:r>
      <w:r w:rsidR="00B71B3E">
        <w:rPr>
          <w:rFonts w:ascii="Times New Roman" w:hAnsi="Times New Roman"/>
          <w:bCs/>
          <w:sz w:val="24"/>
          <w:szCs w:val="24"/>
          <w:lang w:val="en-US" w:eastAsia="fr-BE"/>
        </w:rPr>
        <w:t xml:space="preserve"> </w:t>
      </w:r>
      <w:r w:rsidR="00B71B3E" w:rsidRPr="001C7BD4">
        <w:rPr>
          <w:rFonts w:ascii="Times New Roman" w:hAnsi="Times New Roman"/>
          <w:bCs/>
          <w:sz w:val="24"/>
          <w:szCs w:val="24"/>
          <w:lang w:val="en-US" w:eastAsia="fr-BE"/>
        </w:rPr>
        <w:t>This in</w:t>
      </w:r>
      <w:r w:rsidR="00B71B3E">
        <w:rPr>
          <w:rFonts w:ascii="Times New Roman" w:hAnsi="Times New Roman"/>
          <w:bCs/>
          <w:sz w:val="24"/>
          <w:szCs w:val="24"/>
          <w:lang w:val="en-US" w:eastAsia="fr-BE"/>
        </w:rPr>
        <w:t xml:space="preserve">formation was </w:t>
      </w:r>
      <w:r w:rsidR="00B71B3E" w:rsidRPr="001C7BD4">
        <w:rPr>
          <w:rFonts w:ascii="Times New Roman" w:hAnsi="Times New Roman"/>
          <w:bCs/>
          <w:sz w:val="24"/>
          <w:szCs w:val="24"/>
          <w:lang w:val="en-US" w:eastAsia="fr-BE"/>
        </w:rPr>
        <w:t>combined</w:t>
      </w:r>
      <w:r w:rsidR="00B71B3E">
        <w:rPr>
          <w:rFonts w:ascii="Times New Roman" w:hAnsi="Times New Roman"/>
          <w:bCs/>
          <w:sz w:val="24"/>
          <w:szCs w:val="24"/>
          <w:lang w:val="en-US" w:eastAsia="fr-BE"/>
        </w:rPr>
        <w:t xml:space="preserve"> through a MCA </w:t>
      </w:r>
      <w:r w:rsidR="00B71B3E" w:rsidRPr="001C7BD4">
        <w:rPr>
          <w:rFonts w:ascii="Times New Roman" w:hAnsi="Times New Roman"/>
          <w:bCs/>
          <w:sz w:val="24"/>
          <w:szCs w:val="24"/>
          <w:lang w:val="en-US" w:eastAsia="fr-BE"/>
        </w:rPr>
        <w:t>to form a single index</w:t>
      </w:r>
      <w:r w:rsidR="00B71B3E">
        <w:rPr>
          <w:rFonts w:ascii="Times New Roman" w:hAnsi="Times New Roman"/>
          <w:bCs/>
          <w:sz w:val="24"/>
          <w:szCs w:val="24"/>
          <w:lang w:val="en-US" w:eastAsia="fr-BE"/>
        </w:rPr>
        <w:t xml:space="preserve">. The resulting multimodal behavior expresses a strong heterogeneity in preventive behavior in the sample. </w:t>
      </w:r>
      <w:r w:rsidR="00B71B3E" w:rsidRPr="00EE0AAA">
        <w:rPr>
          <w:rFonts w:ascii="Times New Roman" w:hAnsi="Times New Roman"/>
          <w:bCs/>
          <w:sz w:val="24"/>
          <w:szCs w:val="24"/>
          <w:lang w:val="en-US" w:eastAsia="fr-BE"/>
        </w:rPr>
        <w:t>The average value of this index</w:t>
      </w:r>
      <w:r w:rsidR="00977416" w:rsidRPr="00EE0AAA">
        <w:rPr>
          <w:rFonts w:ascii="Times New Roman" w:hAnsi="Times New Roman"/>
          <w:bCs/>
          <w:sz w:val="24"/>
          <w:szCs w:val="24"/>
          <w:lang w:val="en-US" w:eastAsia="fr-BE"/>
        </w:rPr>
        <w:t>, when measured at the end of the first year of the program</w:t>
      </w:r>
      <w:r w:rsidR="00F93005">
        <w:rPr>
          <w:rFonts w:ascii="Times New Roman" w:hAnsi="Times New Roman"/>
          <w:bCs/>
          <w:sz w:val="24"/>
          <w:szCs w:val="24"/>
          <w:lang w:val="en-US" w:eastAsia="fr-BE"/>
        </w:rPr>
        <w:t xml:space="preserve"> (denoted by </w:t>
      </w:r>
      <w:r w:rsidR="00F93005">
        <w:rPr>
          <w:rFonts w:ascii="Times New Roman" w:hAnsi="Times New Roman"/>
          <w:bCs/>
          <w:i/>
          <w:sz w:val="24"/>
          <w:szCs w:val="24"/>
          <w:lang w:val="en-US" w:eastAsia="fr-BE"/>
        </w:rPr>
        <w:t>prevention_index_present</w:t>
      </w:r>
      <w:r w:rsidR="00F93005">
        <w:rPr>
          <w:rFonts w:ascii="Times New Roman" w:hAnsi="Times New Roman"/>
          <w:bCs/>
          <w:sz w:val="24"/>
          <w:szCs w:val="24"/>
          <w:lang w:val="en-US" w:eastAsia="fr-BE"/>
        </w:rPr>
        <w:t>)</w:t>
      </w:r>
      <w:r w:rsidR="00977416" w:rsidRPr="00EE0AAA">
        <w:rPr>
          <w:rFonts w:ascii="Times New Roman" w:hAnsi="Times New Roman"/>
          <w:bCs/>
          <w:sz w:val="24"/>
          <w:szCs w:val="24"/>
          <w:lang w:val="en-US" w:eastAsia="fr-BE"/>
        </w:rPr>
        <w:t>,</w:t>
      </w:r>
      <w:r w:rsidR="00B71B3E" w:rsidRPr="00EE0AAA">
        <w:rPr>
          <w:rFonts w:ascii="Times New Roman" w:hAnsi="Times New Roman"/>
          <w:bCs/>
          <w:sz w:val="24"/>
          <w:szCs w:val="24"/>
          <w:lang w:val="en-US" w:eastAsia="fr-BE"/>
        </w:rPr>
        <w:t xml:space="preserve"> is larger for subscribers (0.19) than for non-subscribers (-0.06), a</w:t>
      </w:r>
      <w:r w:rsidR="00977416" w:rsidRPr="00EE0AAA">
        <w:rPr>
          <w:rFonts w:ascii="Times New Roman" w:hAnsi="Times New Roman"/>
          <w:bCs/>
          <w:sz w:val="24"/>
          <w:szCs w:val="24"/>
          <w:lang w:val="en-US" w:eastAsia="fr-BE"/>
        </w:rPr>
        <w:t>nd the difference is strong</w:t>
      </w:r>
      <w:r w:rsidR="00B71B3E" w:rsidRPr="00EE0AAA">
        <w:rPr>
          <w:rFonts w:ascii="Times New Roman" w:hAnsi="Times New Roman"/>
          <w:bCs/>
          <w:sz w:val="24"/>
          <w:szCs w:val="24"/>
          <w:lang w:val="en-US" w:eastAsia="fr-BE"/>
        </w:rPr>
        <w:t>ly significant</w:t>
      </w:r>
      <w:r w:rsidR="00977416" w:rsidRPr="00EE0AAA">
        <w:rPr>
          <w:rFonts w:ascii="Times New Roman" w:hAnsi="Times New Roman"/>
          <w:bCs/>
          <w:sz w:val="24"/>
          <w:szCs w:val="24"/>
          <w:lang w:val="en-US" w:eastAsia="fr-BE"/>
        </w:rPr>
        <w:t>. When measured before the start of the program</w:t>
      </w:r>
      <w:r w:rsidR="00F93005">
        <w:rPr>
          <w:rFonts w:ascii="Times New Roman" w:hAnsi="Times New Roman"/>
          <w:bCs/>
          <w:sz w:val="24"/>
          <w:szCs w:val="24"/>
          <w:lang w:val="en-US" w:eastAsia="fr-BE"/>
        </w:rPr>
        <w:t xml:space="preserve"> (and denoted by </w:t>
      </w:r>
      <w:r w:rsidR="00F93005">
        <w:rPr>
          <w:rFonts w:ascii="Times New Roman" w:hAnsi="Times New Roman"/>
          <w:bCs/>
          <w:i/>
          <w:sz w:val="24"/>
          <w:szCs w:val="24"/>
          <w:lang w:val="en-US" w:eastAsia="fr-BE"/>
        </w:rPr>
        <w:t>prevention_index_past</w:t>
      </w:r>
      <w:r w:rsidR="00F93005">
        <w:rPr>
          <w:rFonts w:ascii="Times New Roman" w:hAnsi="Times New Roman"/>
          <w:bCs/>
          <w:sz w:val="24"/>
          <w:szCs w:val="24"/>
          <w:lang w:val="en-US" w:eastAsia="fr-BE"/>
        </w:rPr>
        <w:t>)</w:t>
      </w:r>
      <w:r w:rsidR="00977416" w:rsidRPr="00EE0AAA">
        <w:rPr>
          <w:rFonts w:ascii="Times New Roman" w:hAnsi="Times New Roman"/>
          <w:bCs/>
          <w:sz w:val="24"/>
          <w:szCs w:val="24"/>
          <w:lang w:val="en-US" w:eastAsia="fr-BE"/>
        </w:rPr>
        <w:t>, the index</w:t>
      </w:r>
      <w:r w:rsidR="00723A44">
        <w:rPr>
          <w:rFonts w:ascii="Times New Roman" w:hAnsi="Times New Roman"/>
          <w:bCs/>
          <w:sz w:val="24"/>
          <w:szCs w:val="24"/>
          <w:lang w:val="en-US" w:eastAsia="fr-BE"/>
        </w:rPr>
        <w:t xml:space="preserve"> value is again larger for the subscribers yet the gap between them and the non-subscribers appears to be</w:t>
      </w:r>
      <w:r w:rsidR="003D2A14">
        <w:rPr>
          <w:rFonts w:ascii="Times New Roman" w:hAnsi="Times New Roman"/>
          <w:bCs/>
          <w:sz w:val="24"/>
          <w:szCs w:val="24"/>
          <w:lang w:val="en-US" w:eastAsia="fr-BE"/>
        </w:rPr>
        <w:t xml:space="preserve"> much</w:t>
      </w:r>
      <w:r w:rsidR="00723A44">
        <w:rPr>
          <w:rFonts w:ascii="Times New Roman" w:hAnsi="Times New Roman"/>
          <w:bCs/>
          <w:sz w:val="24"/>
          <w:szCs w:val="24"/>
          <w:lang w:val="en-US" w:eastAsia="fr-BE"/>
        </w:rPr>
        <w:t xml:space="preserve"> wider.</w:t>
      </w:r>
      <w:r w:rsidR="00723A44">
        <w:rPr>
          <w:rStyle w:val="Appelnotedebasdep"/>
          <w:rFonts w:ascii="Times New Roman" w:hAnsi="Times New Roman"/>
          <w:bCs/>
          <w:sz w:val="24"/>
          <w:szCs w:val="24"/>
          <w:lang w:val="en-US" w:eastAsia="fr-BE"/>
        </w:rPr>
        <w:footnoteReference w:id="10"/>
      </w:r>
      <w:r w:rsidR="00977416" w:rsidRPr="00EE0AAA">
        <w:rPr>
          <w:rFonts w:ascii="Times New Roman" w:hAnsi="Times New Roman"/>
          <w:bCs/>
          <w:sz w:val="24"/>
          <w:szCs w:val="24"/>
          <w:lang w:val="en-US" w:eastAsia="fr-BE"/>
        </w:rPr>
        <w:t xml:space="preserve"> </w:t>
      </w:r>
      <w:r w:rsidR="003D2A14">
        <w:rPr>
          <w:rFonts w:ascii="Times New Roman" w:hAnsi="Times New Roman"/>
          <w:bCs/>
          <w:sz w:val="24"/>
          <w:szCs w:val="24"/>
          <w:lang w:val="en-US" w:eastAsia="fr-BE"/>
        </w:rPr>
        <w:t>H</w:t>
      </w:r>
      <w:r w:rsidR="00B71B3E" w:rsidRPr="00EE0AAA">
        <w:rPr>
          <w:rFonts w:ascii="Times New Roman" w:hAnsi="Times New Roman"/>
          <w:bCs/>
          <w:sz w:val="24"/>
          <w:szCs w:val="24"/>
          <w:lang w:val="en-US" w:eastAsia="fr-BE"/>
        </w:rPr>
        <w:t>ouseholds which enrolled into the program in 2010 were</w:t>
      </w:r>
      <w:r w:rsidR="003D2A14">
        <w:rPr>
          <w:rFonts w:ascii="Times New Roman" w:hAnsi="Times New Roman"/>
          <w:bCs/>
          <w:sz w:val="24"/>
          <w:szCs w:val="24"/>
          <w:lang w:val="en-US" w:eastAsia="fr-BE"/>
        </w:rPr>
        <w:t xml:space="preserve"> therefore significantly</w:t>
      </w:r>
      <w:r w:rsidR="00B71B3E" w:rsidRPr="00EE0AAA">
        <w:rPr>
          <w:rFonts w:ascii="Times New Roman" w:hAnsi="Times New Roman"/>
          <w:bCs/>
          <w:sz w:val="24"/>
          <w:szCs w:val="24"/>
          <w:lang w:val="en-US" w:eastAsia="fr-BE"/>
        </w:rPr>
        <w:t xml:space="preserve"> more health-and-hygiene conscious than others.</w:t>
      </w:r>
      <w:r w:rsidR="00B71B3E">
        <w:rPr>
          <w:rFonts w:ascii="Times New Roman" w:hAnsi="Times New Roman"/>
          <w:bCs/>
          <w:sz w:val="24"/>
          <w:szCs w:val="24"/>
          <w:lang w:val="en-US" w:eastAsia="fr-BE"/>
        </w:rPr>
        <w:t xml:space="preserve"> </w:t>
      </w:r>
      <w:r w:rsidR="00A31B69">
        <w:rPr>
          <w:rFonts w:ascii="Times New Roman" w:hAnsi="Times New Roman"/>
          <w:bCs/>
          <w:sz w:val="24"/>
          <w:szCs w:val="24"/>
          <w:lang w:val="en-US" w:eastAsia="fr-BE"/>
        </w:rPr>
        <w:t>T</w:t>
      </w:r>
      <w:r w:rsidR="00EE0AAA">
        <w:rPr>
          <w:rFonts w:ascii="Times New Roman" w:hAnsi="Times New Roman"/>
          <w:bCs/>
          <w:sz w:val="24"/>
          <w:szCs w:val="24"/>
          <w:lang w:val="en-US" w:eastAsia="fr-BE"/>
        </w:rPr>
        <w:t>he</w:t>
      </w:r>
      <w:r w:rsidR="00C320EE">
        <w:rPr>
          <w:rFonts w:ascii="Times New Roman" w:hAnsi="Times New Roman"/>
          <w:bCs/>
          <w:sz w:val="24"/>
          <w:szCs w:val="24"/>
          <w:lang w:val="en-US" w:eastAsia="fr-BE"/>
        </w:rPr>
        <w:t xml:space="preserve"> strong presence</w:t>
      </w:r>
      <w:r w:rsidR="003C54AA">
        <w:rPr>
          <w:rFonts w:ascii="Times New Roman" w:hAnsi="Times New Roman"/>
          <w:bCs/>
          <w:sz w:val="24"/>
          <w:szCs w:val="24"/>
          <w:lang w:val="en-US" w:eastAsia="fr-BE"/>
        </w:rPr>
        <w:t xml:space="preserve"> of health-conscious hea</w:t>
      </w:r>
      <w:r w:rsidR="002651F9">
        <w:rPr>
          <w:rFonts w:ascii="Times New Roman" w:hAnsi="Times New Roman"/>
          <w:bCs/>
          <w:sz w:val="24"/>
          <w:szCs w:val="24"/>
          <w:lang w:val="en-US" w:eastAsia="fr-BE"/>
        </w:rPr>
        <w:t xml:space="preserve">ds among the subscriber population </w:t>
      </w:r>
      <w:r w:rsidR="003C54AA">
        <w:rPr>
          <w:rFonts w:ascii="Times New Roman" w:hAnsi="Times New Roman"/>
          <w:bCs/>
          <w:sz w:val="24"/>
          <w:szCs w:val="24"/>
          <w:lang w:val="en-US" w:eastAsia="fr-BE"/>
        </w:rPr>
        <w:t>could suggest</w:t>
      </w:r>
      <w:r w:rsidR="00982BA7">
        <w:rPr>
          <w:rFonts w:ascii="Times New Roman" w:hAnsi="Times New Roman"/>
          <w:bCs/>
          <w:sz w:val="24"/>
          <w:szCs w:val="24"/>
          <w:lang w:val="en-US" w:eastAsia="fr-BE"/>
        </w:rPr>
        <w:t xml:space="preserve"> </w:t>
      </w:r>
      <w:r w:rsidR="003C54AA">
        <w:rPr>
          <w:rFonts w:ascii="Times New Roman" w:hAnsi="Times New Roman"/>
          <w:bCs/>
          <w:sz w:val="24"/>
          <w:szCs w:val="24"/>
          <w:lang w:val="en-US" w:eastAsia="fr-BE"/>
        </w:rPr>
        <w:t>that, since they</w:t>
      </w:r>
      <w:r w:rsidR="00C320EE">
        <w:rPr>
          <w:rFonts w:ascii="Times New Roman" w:hAnsi="Times New Roman"/>
          <w:bCs/>
          <w:sz w:val="24"/>
          <w:szCs w:val="24"/>
          <w:lang w:val="en-US" w:eastAsia="fr-BE"/>
        </w:rPr>
        <w:t xml:space="preserve"> represent good risks,</w:t>
      </w:r>
      <w:r w:rsidR="002651F9">
        <w:rPr>
          <w:rFonts w:ascii="Times New Roman" w:hAnsi="Times New Roman"/>
          <w:bCs/>
          <w:sz w:val="24"/>
          <w:szCs w:val="24"/>
          <w:lang w:val="en-US" w:eastAsia="fr-BE"/>
        </w:rPr>
        <w:t xml:space="preserve"> </w:t>
      </w:r>
      <w:r w:rsidR="003C54AA">
        <w:rPr>
          <w:rFonts w:ascii="Times New Roman" w:hAnsi="Times New Roman"/>
          <w:bCs/>
          <w:sz w:val="24"/>
          <w:szCs w:val="24"/>
          <w:lang w:val="en-US" w:eastAsia="fr-BE"/>
        </w:rPr>
        <w:t xml:space="preserve">they </w:t>
      </w:r>
      <w:r w:rsidR="002651F9">
        <w:rPr>
          <w:rFonts w:ascii="Times New Roman" w:hAnsi="Times New Roman"/>
          <w:bCs/>
          <w:sz w:val="24"/>
          <w:szCs w:val="24"/>
          <w:lang w:val="en-US" w:eastAsia="fr-BE"/>
        </w:rPr>
        <w:t>are mo</w:t>
      </w:r>
      <w:r w:rsidR="003C54AA">
        <w:rPr>
          <w:rFonts w:ascii="Times New Roman" w:hAnsi="Times New Roman"/>
          <w:bCs/>
          <w:sz w:val="24"/>
          <w:szCs w:val="24"/>
          <w:lang w:val="en-US" w:eastAsia="fr-BE"/>
        </w:rPr>
        <w:t>re risk-averse than other heads</w:t>
      </w:r>
      <w:r w:rsidR="002651F9">
        <w:rPr>
          <w:rFonts w:ascii="Times New Roman" w:hAnsi="Times New Roman"/>
          <w:bCs/>
          <w:sz w:val="24"/>
          <w:szCs w:val="24"/>
          <w:lang w:val="en-US" w:eastAsia="fr-BE"/>
        </w:rPr>
        <w:t xml:space="preserve"> </w:t>
      </w:r>
      <w:r w:rsidR="003C54AA">
        <w:rPr>
          <w:rFonts w:ascii="Times New Roman" w:hAnsi="Times New Roman"/>
          <w:bCs/>
          <w:sz w:val="24"/>
          <w:szCs w:val="24"/>
          <w:lang w:val="en-US" w:eastAsia="fr-BE"/>
        </w:rPr>
        <w:t>(</w:t>
      </w:r>
      <w:r w:rsidR="002651F9">
        <w:rPr>
          <w:rFonts w:ascii="Times New Roman" w:hAnsi="Times New Roman"/>
          <w:bCs/>
          <w:sz w:val="24"/>
          <w:szCs w:val="24"/>
          <w:lang w:val="en-US" w:eastAsia="fr-BE"/>
        </w:rPr>
        <w:t>otherwise</w:t>
      </w:r>
      <w:r w:rsidR="003C54AA">
        <w:rPr>
          <w:rFonts w:ascii="Times New Roman" w:hAnsi="Times New Roman"/>
          <w:bCs/>
          <w:sz w:val="24"/>
          <w:szCs w:val="24"/>
          <w:lang w:val="en-US" w:eastAsia="fr-BE"/>
        </w:rPr>
        <w:t xml:space="preserve"> they would not have</w:t>
      </w:r>
      <w:r w:rsidR="002651F9">
        <w:rPr>
          <w:rFonts w:ascii="Times New Roman" w:hAnsi="Times New Roman"/>
          <w:bCs/>
          <w:sz w:val="24"/>
          <w:szCs w:val="24"/>
          <w:lang w:val="en-US" w:eastAsia="fr-BE"/>
        </w:rPr>
        <w:t xml:space="preserve"> enroll</w:t>
      </w:r>
      <w:r w:rsidR="003C54AA">
        <w:rPr>
          <w:rFonts w:ascii="Times New Roman" w:hAnsi="Times New Roman"/>
          <w:bCs/>
          <w:sz w:val="24"/>
          <w:szCs w:val="24"/>
          <w:lang w:val="en-US" w:eastAsia="fr-BE"/>
        </w:rPr>
        <w:t>ed into a program which includes</w:t>
      </w:r>
      <w:r w:rsidR="002651F9">
        <w:rPr>
          <w:rFonts w:ascii="Times New Roman" w:hAnsi="Times New Roman"/>
          <w:bCs/>
          <w:sz w:val="24"/>
          <w:szCs w:val="24"/>
          <w:lang w:val="en-US" w:eastAsia="fr-BE"/>
        </w:rPr>
        <w:t xml:space="preserve"> </w:t>
      </w:r>
      <w:r w:rsidR="00982BA7">
        <w:rPr>
          <w:rFonts w:ascii="Times New Roman" w:hAnsi="Times New Roman"/>
          <w:bCs/>
          <w:sz w:val="24"/>
          <w:szCs w:val="24"/>
          <w:lang w:val="en-US" w:eastAsia="fr-BE"/>
        </w:rPr>
        <w:t>households</w:t>
      </w:r>
      <w:r w:rsidR="00552A58">
        <w:rPr>
          <w:rFonts w:ascii="Times New Roman" w:hAnsi="Times New Roman"/>
          <w:bCs/>
          <w:sz w:val="24"/>
          <w:szCs w:val="24"/>
          <w:lang w:val="en-US" w:eastAsia="fr-BE"/>
        </w:rPr>
        <w:t xml:space="preserve"> more prone to health risks</w:t>
      </w:r>
      <w:r w:rsidR="003C54AA">
        <w:rPr>
          <w:rFonts w:ascii="Times New Roman" w:hAnsi="Times New Roman"/>
          <w:bCs/>
          <w:sz w:val="24"/>
          <w:szCs w:val="24"/>
          <w:lang w:val="en-US" w:eastAsia="fr-BE"/>
        </w:rPr>
        <w:t>)</w:t>
      </w:r>
      <w:r w:rsidR="00982BA7">
        <w:rPr>
          <w:rFonts w:ascii="Times New Roman" w:hAnsi="Times New Roman"/>
          <w:bCs/>
          <w:sz w:val="24"/>
          <w:szCs w:val="24"/>
          <w:lang w:val="en-US" w:eastAsia="fr-BE"/>
        </w:rPr>
        <w:t>.</w:t>
      </w:r>
      <w:r w:rsidR="003C54AA">
        <w:rPr>
          <w:rFonts w:ascii="Times New Roman" w:hAnsi="Times New Roman"/>
          <w:bCs/>
          <w:sz w:val="24"/>
          <w:szCs w:val="24"/>
          <w:lang w:val="en-US" w:eastAsia="fr-BE"/>
        </w:rPr>
        <w:t xml:space="preserve"> For </w:t>
      </w:r>
      <w:r w:rsidR="00766A27">
        <w:rPr>
          <w:rFonts w:ascii="Times New Roman" w:hAnsi="Times New Roman"/>
          <w:bCs/>
          <w:sz w:val="24"/>
          <w:szCs w:val="24"/>
          <w:lang w:val="en-US" w:eastAsia="fr-BE"/>
        </w:rPr>
        <w:t xml:space="preserve"> </w:t>
      </w:r>
      <w:r w:rsidR="00766A27">
        <w:rPr>
          <w:rFonts w:ascii="Times New Roman" w:hAnsi="Times New Roman"/>
          <w:bCs/>
          <w:sz w:val="24"/>
          <w:szCs w:val="24"/>
          <w:lang w:val="en-US" w:eastAsia="fr-BE"/>
        </w:rPr>
        <w:lastRenderedPageBreak/>
        <w:t>this interpretation to be valid</w:t>
      </w:r>
      <w:r w:rsidR="00663A4E">
        <w:rPr>
          <w:rFonts w:ascii="Times New Roman" w:hAnsi="Times New Roman"/>
          <w:bCs/>
          <w:sz w:val="24"/>
          <w:szCs w:val="24"/>
          <w:lang w:val="en-US" w:eastAsia="fr-BE"/>
        </w:rPr>
        <w:t>,</w:t>
      </w:r>
      <w:r w:rsidR="003C54AA">
        <w:rPr>
          <w:rFonts w:ascii="Times New Roman" w:hAnsi="Times New Roman"/>
          <w:bCs/>
          <w:sz w:val="24"/>
          <w:szCs w:val="24"/>
          <w:lang w:val="en-US" w:eastAsia="fr-BE"/>
        </w:rPr>
        <w:t xml:space="preserve"> however, good risks should</w:t>
      </w:r>
      <w:r w:rsidR="00663A4E">
        <w:rPr>
          <w:rFonts w:ascii="Times New Roman" w:hAnsi="Times New Roman"/>
          <w:bCs/>
          <w:sz w:val="24"/>
          <w:szCs w:val="24"/>
          <w:lang w:val="en-US" w:eastAsia="fr-BE"/>
        </w:rPr>
        <w:t xml:space="preserve"> expect the risk premium to be higher owing to</w:t>
      </w:r>
      <w:r w:rsidR="003C54AA">
        <w:rPr>
          <w:rFonts w:ascii="Times New Roman" w:hAnsi="Times New Roman"/>
          <w:bCs/>
          <w:sz w:val="24"/>
          <w:szCs w:val="24"/>
          <w:lang w:val="en-US" w:eastAsia="fr-BE"/>
        </w:rPr>
        <w:t xml:space="preserve"> the presence of bad risks, which is far from evident</w:t>
      </w:r>
      <w:r w:rsidR="00663A4E">
        <w:rPr>
          <w:rFonts w:ascii="Times New Roman" w:hAnsi="Times New Roman"/>
          <w:bCs/>
          <w:sz w:val="24"/>
          <w:szCs w:val="24"/>
          <w:lang w:val="en-US" w:eastAsia="fr-BE"/>
        </w:rPr>
        <w:t>.</w:t>
      </w:r>
      <w:r w:rsidR="007B4BC2">
        <w:rPr>
          <w:rFonts w:ascii="Times New Roman" w:hAnsi="Times New Roman"/>
          <w:bCs/>
          <w:sz w:val="24"/>
          <w:szCs w:val="24"/>
          <w:lang w:val="en-US" w:eastAsia="fr-BE"/>
        </w:rPr>
        <w:t xml:space="preserve"> </w:t>
      </w:r>
      <w:r w:rsidR="001958BE">
        <w:rPr>
          <w:rFonts w:ascii="Times New Roman" w:hAnsi="Times New Roman"/>
          <w:bCs/>
          <w:sz w:val="24"/>
          <w:szCs w:val="24"/>
          <w:lang w:val="en-US" w:eastAsia="fr-BE"/>
        </w:rPr>
        <w:t>Note, in</w:t>
      </w:r>
      <w:r w:rsidR="00187136">
        <w:rPr>
          <w:rFonts w:ascii="Times New Roman" w:hAnsi="Times New Roman"/>
          <w:bCs/>
          <w:sz w:val="24"/>
          <w:szCs w:val="24"/>
          <w:lang w:val="en-US" w:eastAsia="fr-BE"/>
        </w:rPr>
        <w:t>cidentally, that</w:t>
      </w:r>
      <w:r w:rsidR="00650039">
        <w:rPr>
          <w:rFonts w:ascii="Times New Roman" w:hAnsi="Times New Roman"/>
          <w:bCs/>
          <w:sz w:val="24"/>
          <w:szCs w:val="24"/>
          <w:lang w:val="en-US" w:eastAsia="fr-BE"/>
        </w:rPr>
        <w:t xml:space="preserve"> more</w:t>
      </w:r>
      <w:r w:rsidR="00187136">
        <w:rPr>
          <w:rFonts w:ascii="Times New Roman" w:hAnsi="Times New Roman"/>
          <w:bCs/>
          <w:sz w:val="24"/>
          <w:szCs w:val="24"/>
          <w:lang w:val="en-US" w:eastAsia="fr-BE"/>
        </w:rPr>
        <w:t xml:space="preserve"> health-conscious households do not appear to be</w:t>
      </w:r>
      <w:r w:rsidR="00650039">
        <w:rPr>
          <w:rFonts w:ascii="Times New Roman" w:hAnsi="Times New Roman"/>
          <w:bCs/>
          <w:sz w:val="24"/>
          <w:szCs w:val="24"/>
          <w:lang w:val="en-US" w:eastAsia="fr-BE"/>
        </w:rPr>
        <w:t xml:space="preserve"> </w:t>
      </w:r>
      <w:r w:rsidR="00187136">
        <w:rPr>
          <w:rFonts w:ascii="Times New Roman" w:hAnsi="Times New Roman"/>
          <w:bCs/>
          <w:sz w:val="24"/>
          <w:szCs w:val="24"/>
          <w:lang w:val="en-US" w:eastAsia="fr-BE"/>
        </w:rPr>
        <w:t xml:space="preserve">more </w:t>
      </w:r>
      <w:r w:rsidR="00650039">
        <w:rPr>
          <w:rFonts w:ascii="Times New Roman" w:hAnsi="Times New Roman"/>
          <w:bCs/>
          <w:sz w:val="24"/>
          <w:szCs w:val="24"/>
          <w:lang w:val="en-US" w:eastAsia="fr-BE"/>
        </w:rPr>
        <w:t>successful in reducing the occurrence</w:t>
      </w:r>
      <w:r w:rsidR="00187136">
        <w:rPr>
          <w:rFonts w:ascii="Times New Roman" w:hAnsi="Times New Roman"/>
          <w:bCs/>
          <w:sz w:val="24"/>
          <w:szCs w:val="24"/>
          <w:lang w:val="en-US" w:eastAsia="fr-BE"/>
        </w:rPr>
        <w:t xml:space="preserve"> of </w:t>
      </w:r>
      <w:r w:rsidR="00650039">
        <w:rPr>
          <w:rFonts w:ascii="Times New Roman" w:hAnsi="Times New Roman"/>
          <w:bCs/>
          <w:sz w:val="24"/>
          <w:szCs w:val="24"/>
          <w:lang w:val="en-US" w:eastAsia="fr-BE"/>
        </w:rPr>
        <w:t>illnesses</w:t>
      </w:r>
      <w:r w:rsidR="00187136">
        <w:rPr>
          <w:rFonts w:ascii="Times New Roman" w:hAnsi="Times New Roman"/>
          <w:bCs/>
          <w:sz w:val="24"/>
          <w:szCs w:val="24"/>
          <w:lang w:val="en-US" w:eastAsia="fr-BE"/>
        </w:rPr>
        <w:t>: the correlation between the health event variable (measured for the year 2010-2011) and the prevention index values measured either for the current year or the past year is very low, and this is confirmed when we regress the former o</w:t>
      </w:r>
      <w:r w:rsidR="003C54AA">
        <w:rPr>
          <w:rFonts w:ascii="Times New Roman" w:hAnsi="Times New Roman"/>
          <w:bCs/>
          <w:sz w:val="24"/>
          <w:szCs w:val="24"/>
          <w:lang w:val="en-US" w:eastAsia="fr-BE"/>
        </w:rPr>
        <w:t>n the latter and introduce a variety</w:t>
      </w:r>
      <w:r w:rsidR="00187136">
        <w:rPr>
          <w:rFonts w:ascii="Times New Roman" w:hAnsi="Times New Roman"/>
          <w:bCs/>
          <w:sz w:val="24"/>
          <w:szCs w:val="24"/>
          <w:lang w:val="en-US" w:eastAsia="fr-BE"/>
        </w:rPr>
        <w:t xml:space="preserve"> of controls.</w:t>
      </w:r>
    </w:p>
    <w:p w:rsidR="00161CA4" w:rsidRPr="00592180" w:rsidRDefault="00B71B3E" w:rsidP="0058460D">
      <w:pPr>
        <w:keepNext/>
        <w:keepLines/>
        <w:spacing w:after="240" w:line="360" w:lineRule="auto"/>
        <w:ind w:firstLine="425"/>
        <w:jc w:val="both"/>
        <w:rPr>
          <w:lang w:val="en-US"/>
        </w:rPr>
      </w:pPr>
      <w:r w:rsidRPr="004142BD">
        <w:rPr>
          <w:rFonts w:ascii="Times New Roman" w:hAnsi="Times New Roman"/>
          <w:bCs/>
          <w:i/>
          <w:sz w:val="24"/>
          <w:szCs w:val="24"/>
          <w:lang w:val="en-US" w:eastAsia="fr-BE"/>
        </w:rPr>
        <w:t>Table 2: Personal, health and socio-economic characteristics of the sample households</w:t>
      </w:r>
    </w:p>
    <w:bookmarkStart w:id="0" w:name="_MON_1426488677"/>
    <w:bookmarkEnd w:id="0"/>
    <w:p w:rsidR="00E013FB" w:rsidRDefault="00E013FB" w:rsidP="0058460D">
      <w:pPr>
        <w:keepNext/>
        <w:keepLines/>
        <w:spacing w:after="240" w:line="360" w:lineRule="auto"/>
        <w:ind w:firstLine="425"/>
        <w:jc w:val="both"/>
        <w:rPr>
          <w:lang w:val="en-US"/>
        </w:rPr>
      </w:pPr>
      <w:r>
        <w:object w:dxaOrig="9196" w:dyaOrig="7800">
          <v:shape id="_x0000_i1026" type="#_x0000_t75" style="width:402.35pt;height:369.9pt" o:ole="">
            <v:imagedata r:id="rId12" o:title=""/>
          </v:shape>
          <o:OLEObject Type="Embed" ProgID="Excel.Sheet.12" ShapeID="_x0000_i1026" DrawAspect="Content" ObjectID="_1431905099" r:id="rId13"/>
        </w:object>
      </w:r>
    </w:p>
    <w:p w:rsidR="00917F4D" w:rsidRDefault="00917F4D" w:rsidP="00161CA4">
      <w:pPr>
        <w:spacing w:after="240" w:line="360" w:lineRule="auto"/>
        <w:ind w:firstLine="426"/>
        <w:jc w:val="both"/>
        <w:rPr>
          <w:rFonts w:ascii="Times New Roman" w:hAnsi="Times New Roman"/>
          <w:b/>
          <w:bCs/>
          <w:sz w:val="28"/>
          <w:szCs w:val="28"/>
          <w:lang w:val="en-US" w:eastAsia="fr-BE"/>
        </w:rPr>
      </w:pPr>
    </w:p>
    <w:p w:rsidR="0085763F" w:rsidRDefault="0085763F" w:rsidP="00161CA4">
      <w:pPr>
        <w:spacing w:after="240" w:line="360" w:lineRule="auto"/>
        <w:ind w:firstLine="426"/>
        <w:jc w:val="both"/>
        <w:rPr>
          <w:rFonts w:ascii="Times New Roman" w:hAnsi="Times New Roman"/>
          <w:b/>
          <w:bCs/>
          <w:sz w:val="28"/>
          <w:szCs w:val="28"/>
          <w:lang w:val="en-US" w:eastAsia="fr-BE"/>
        </w:rPr>
      </w:pPr>
    </w:p>
    <w:p w:rsidR="00B71B3E" w:rsidRPr="00161CA4" w:rsidRDefault="00161CA4" w:rsidP="00161CA4">
      <w:pPr>
        <w:spacing w:after="240" w:line="360" w:lineRule="auto"/>
        <w:ind w:firstLine="426"/>
        <w:jc w:val="both"/>
        <w:rPr>
          <w:lang w:val="en-US"/>
        </w:rPr>
      </w:pPr>
      <w:r w:rsidRPr="00E013FB">
        <w:rPr>
          <w:rFonts w:ascii="Times New Roman" w:hAnsi="Times New Roman"/>
          <w:b/>
          <w:bCs/>
          <w:sz w:val="28"/>
          <w:szCs w:val="28"/>
          <w:lang w:val="en-US" w:eastAsia="fr-BE"/>
        </w:rPr>
        <w:t>3.</w:t>
      </w:r>
      <w:r w:rsidRPr="00E013FB">
        <w:rPr>
          <w:rFonts w:ascii="Times New Roman" w:hAnsi="Times New Roman"/>
          <w:b/>
          <w:bCs/>
          <w:sz w:val="28"/>
          <w:szCs w:val="28"/>
          <w:lang w:val="en-US" w:eastAsia="fr-BE"/>
        </w:rPr>
        <w:tab/>
      </w:r>
      <w:r w:rsidR="00B71B3E" w:rsidRPr="00161CA4">
        <w:rPr>
          <w:rFonts w:ascii="Times New Roman" w:hAnsi="Times New Roman"/>
          <w:b/>
          <w:bCs/>
          <w:sz w:val="28"/>
          <w:szCs w:val="28"/>
          <w:lang w:val="en-US" w:eastAsia="fr-BE"/>
        </w:rPr>
        <w:t>Methodological</w:t>
      </w:r>
      <w:r w:rsidR="00B71B3E" w:rsidRPr="00916EFC">
        <w:rPr>
          <w:rFonts w:ascii="Times New Roman" w:hAnsi="Times New Roman"/>
          <w:b/>
          <w:bCs/>
          <w:sz w:val="28"/>
          <w:szCs w:val="28"/>
          <w:lang w:val="en-US" w:eastAsia="fr-BE"/>
        </w:rPr>
        <w:t xml:space="preserve"> approach and key descriptive evidence</w:t>
      </w:r>
    </w:p>
    <w:p w:rsidR="00B71B3E" w:rsidRPr="009751C7" w:rsidRDefault="00230BD6" w:rsidP="00230BD6">
      <w:pPr>
        <w:autoSpaceDE w:val="0"/>
        <w:autoSpaceDN w:val="0"/>
        <w:adjustRightInd w:val="0"/>
        <w:spacing w:after="240" w:line="360" w:lineRule="auto"/>
        <w:jc w:val="both"/>
        <w:rPr>
          <w:rFonts w:ascii="Times New Roman" w:hAnsi="Times New Roman"/>
          <w:b/>
          <w:bCs/>
          <w:i/>
          <w:sz w:val="24"/>
          <w:szCs w:val="24"/>
          <w:lang w:val="en-US" w:eastAsia="fr-BE"/>
        </w:rPr>
      </w:pPr>
      <w:r>
        <w:rPr>
          <w:rFonts w:ascii="Times New Roman" w:hAnsi="Times New Roman"/>
          <w:b/>
          <w:bCs/>
          <w:i/>
          <w:sz w:val="24"/>
          <w:szCs w:val="24"/>
          <w:lang w:val="en-US" w:eastAsia="fr-BE"/>
        </w:rPr>
        <w:lastRenderedPageBreak/>
        <w:t>3.1</w:t>
      </w:r>
      <w:r>
        <w:rPr>
          <w:rFonts w:ascii="Times New Roman" w:hAnsi="Times New Roman"/>
          <w:b/>
          <w:bCs/>
          <w:i/>
          <w:sz w:val="24"/>
          <w:szCs w:val="24"/>
          <w:lang w:val="en-US" w:eastAsia="fr-BE"/>
        </w:rPr>
        <w:tab/>
      </w:r>
      <w:r w:rsidR="00B71B3E" w:rsidRPr="009751C7">
        <w:rPr>
          <w:rFonts w:ascii="Times New Roman" w:hAnsi="Times New Roman"/>
          <w:b/>
          <w:bCs/>
          <w:i/>
          <w:sz w:val="24"/>
          <w:szCs w:val="24"/>
          <w:lang w:val="en-US" w:eastAsia="fr-BE"/>
        </w:rPr>
        <w:t>Conceptual framework</w:t>
      </w:r>
    </w:p>
    <w:p w:rsidR="00B71B3E" w:rsidRDefault="00B71B3E" w:rsidP="00161CA4">
      <w:pPr>
        <w:autoSpaceDE w:val="0"/>
        <w:autoSpaceDN w:val="0"/>
        <w:adjustRightInd w:val="0"/>
        <w:spacing w:after="240" w:line="360" w:lineRule="auto"/>
        <w:ind w:firstLine="425"/>
        <w:jc w:val="both"/>
        <w:rPr>
          <w:rFonts w:ascii="Times New Roman" w:hAnsi="Times New Roman"/>
          <w:bCs/>
          <w:sz w:val="24"/>
          <w:szCs w:val="24"/>
          <w:lang w:val="en-US" w:eastAsia="fr-BE"/>
        </w:rPr>
      </w:pPr>
      <w:r>
        <w:rPr>
          <w:rFonts w:ascii="Times New Roman" w:hAnsi="Times New Roman"/>
          <w:bCs/>
          <w:sz w:val="24"/>
          <w:szCs w:val="24"/>
          <w:lang w:val="en-US" w:eastAsia="fr-BE"/>
        </w:rPr>
        <w:t>Figure 1 depicts the manner in which the contract renewal decision is determined. Users decide to renew their contract when they are satisfied with the product as they have experienced it in the (recent) past. Satisfaction depends on the perceived return whi</w:t>
      </w:r>
      <w:r w:rsidR="0003021F">
        <w:rPr>
          <w:rFonts w:ascii="Times New Roman" w:hAnsi="Times New Roman"/>
          <w:bCs/>
          <w:sz w:val="24"/>
          <w:szCs w:val="24"/>
          <w:lang w:val="en-US" w:eastAsia="fr-BE"/>
        </w:rPr>
        <w:t>ch is itself influenced by several</w:t>
      </w:r>
      <w:r>
        <w:rPr>
          <w:rFonts w:ascii="Times New Roman" w:hAnsi="Times New Roman"/>
          <w:bCs/>
          <w:sz w:val="24"/>
          <w:szCs w:val="24"/>
          <w:lang w:val="en-US" w:eastAsia="fr-BE"/>
        </w:rPr>
        <w:t xml:space="preserve"> key factors. First, clients need to be well informed about the insurance product in order to be able to make an appropriate use of it when a (health) shock</w:t>
      </w:r>
      <w:r w:rsidR="00547AC0">
        <w:rPr>
          <w:rFonts w:ascii="Times New Roman" w:hAnsi="Times New Roman"/>
          <w:bCs/>
          <w:sz w:val="24"/>
          <w:szCs w:val="24"/>
          <w:lang w:val="en-US" w:eastAsia="fr-BE"/>
        </w:rPr>
        <w:t xml:space="preserve"> hits them. Second, it is also important that they have a good understanding of the notion of insurance, lest they should become discouraged if their net insurance payout turns out to be negative. To indicate the expected interaction between the level of understanding and the size of the (negative) payout, the two corresponding boxes have been clubbed together. Third</w:t>
      </w:r>
      <w:r>
        <w:rPr>
          <w:rFonts w:ascii="Times New Roman" w:hAnsi="Times New Roman"/>
          <w:bCs/>
          <w:sz w:val="24"/>
          <w:szCs w:val="24"/>
          <w:lang w:val="en-US" w:eastAsia="fr-BE"/>
        </w:rPr>
        <w:t xml:space="preserve">, </w:t>
      </w:r>
      <w:r w:rsidR="0003021F">
        <w:rPr>
          <w:rFonts w:ascii="Times New Roman" w:hAnsi="Times New Roman"/>
          <w:bCs/>
          <w:sz w:val="24"/>
          <w:szCs w:val="24"/>
          <w:lang w:val="en-US" w:eastAsia="fr-BE"/>
        </w:rPr>
        <w:t>incentive problems, moral hazard in particular, have to be kept under control so as to persuade participants that they are not ‘e</w:t>
      </w:r>
      <w:r w:rsidR="00547AC0">
        <w:rPr>
          <w:rFonts w:ascii="Times New Roman" w:hAnsi="Times New Roman"/>
          <w:bCs/>
          <w:sz w:val="24"/>
          <w:szCs w:val="24"/>
          <w:lang w:val="en-US" w:eastAsia="fr-BE"/>
        </w:rPr>
        <w:t xml:space="preserve">xploited’ by opportunists. </w:t>
      </w:r>
      <w:r w:rsidR="00723A44">
        <w:rPr>
          <w:rFonts w:ascii="Times New Roman" w:hAnsi="Times New Roman"/>
          <w:bCs/>
          <w:sz w:val="24"/>
          <w:szCs w:val="24"/>
          <w:lang w:val="en-US" w:eastAsia="fr-BE"/>
        </w:rPr>
        <w:t>L</w:t>
      </w:r>
      <w:r w:rsidR="0003021F">
        <w:rPr>
          <w:rFonts w:ascii="Times New Roman" w:hAnsi="Times New Roman"/>
          <w:bCs/>
          <w:sz w:val="24"/>
          <w:szCs w:val="24"/>
          <w:lang w:val="en-US" w:eastAsia="fr-BE"/>
        </w:rPr>
        <w:t>astly</w:t>
      </w:r>
      <w:r>
        <w:rPr>
          <w:rFonts w:ascii="Times New Roman" w:hAnsi="Times New Roman"/>
          <w:bCs/>
          <w:sz w:val="24"/>
          <w:szCs w:val="24"/>
          <w:lang w:val="en-US" w:eastAsia="fr-BE"/>
        </w:rPr>
        <w:t>, the quality of (health) services delivered must be of a sufficient quality.</w:t>
      </w:r>
      <w:r w:rsidR="00161CA4">
        <w:rPr>
          <w:rFonts w:ascii="Times New Roman" w:hAnsi="Times New Roman"/>
          <w:bCs/>
          <w:sz w:val="24"/>
          <w:szCs w:val="24"/>
          <w:lang w:val="en-US" w:eastAsia="fr-BE"/>
        </w:rPr>
        <w:t xml:space="preserve"> Trust in the insurer is not mentioned as its effect is plausibly mixed up with the effects of information and understanding.</w:t>
      </w:r>
    </w:p>
    <w:p w:rsidR="00B71B3E" w:rsidRPr="00EA7726" w:rsidRDefault="00B71B3E" w:rsidP="00B71B3E">
      <w:pPr>
        <w:keepNext/>
        <w:keepLines/>
        <w:spacing w:after="240" w:line="360" w:lineRule="auto"/>
        <w:ind w:firstLine="425"/>
        <w:jc w:val="center"/>
        <w:rPr>
          <w:rFonts w:ascii="Times New Roman" w:hAnsi="Times New Roman"/>
          <w:i/>
          <w:sz w:val="24"/>
          <w:szCs w:val="24"/>
          <w:lang w:val="en-US"/>
        </w:rPr>
      </w:pPr>
      <w:r w:rsidRPr="00EA7726">
        <w:rPr>
          <w:rFonts w:ascii="Times New Roman" w:hAnsi="Times New Roman"/>
          <w:i/>
          <w:sz w:val="24"/>
          <w:szCs w:val="24"/>
          <w:lang w:val="en-US"/>
        </w:rPr>
        <w:t>Figure 1: Determinants of contract renewal behavior</w:t>
      </w:r>
    </w:p>
    <w:p w:rsidR="00B71B3E" w:rsidRDefault="00D249A0" w:rsidP="00B71B3E">
      <w:pPr>
        <w:keepNext/>
        <w:keepLines/>
        <w:spacing w:after="240" w:line="360" w:lineRule="auto"/>
        <w:ind w:firstLine="425"/>
        <w:jc w:val="both"/>
        <w:rPr>
          <w:rFonts w:ascii="Times New Roman" w:hAnsi="Times New Roman"/>
          <w:sz w:val="24"/>
          <w:szCs w:val="24"/>
          <w:lang w:val="en-US" w:eastAsia="fr-BE"/>
        </w:rPr>
      </w:pPr>
      <w:r>
        <w:pict>
          <v:shape id="_x0000_i1027" type="#_x0000_t75" style="width:419.3pt;height:240.95pt">
            <v:imagedata r:id="rId14" o:title=""/>
          </v:shape>
        </w:pict>
      </w:r>
    </w:p>
    <w:p w:rsidR="00934058" w:rsidRDefault="00B71B3E" w:rsidP="00B71B3E">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To verify the role of the above determinants, we intend to test three relationships</w:t>
      </w:r>
      <w:r w:rsidR="00934058">
        <w:rPr>
          <w:rFonts w:ascii="Times New Roman" w:hAnsi="Times New Roman"/>
          <w:sz w:val="24"/>
          <w:szCs w:val="24"/>
          <w:lang w:val="en-US" w:eastAsia="fr-BE"/>
        </w:rPr>
        <w:t xml:space="preserve"> econometrically</w:t>
      </w:r>
      <w:r>
        <w:rPr>
          <w:rFonts w:ascii="Times New Roman" w:hAnsi="Times New Roman"/>
          <w:sz w:val="24"/>
          <w:szCs w:val="24"/>
          <w:lang w:val="en-US" w:eastAsia="fr-BE"/>
        </w:rPr>
        <w:t xml:space="preserve">. The most important one aims at explaining variations in contract renewal decisions, an objectively measurable outcome variable. The second, closely related relationship should explain variations in satisfaction levels, a subjective measure. Finally, we </w:t>
      </w:r>
      <w:r>
        <w:rPr>
          <w:rFonts w:ascii="Times New Roman" w:hAnsi="Times New Roman"/>
          <w:sz w:val="24"/>
          <w:szCs w:val="24"/>
          <w:lang w:val="en-US" w:eastAsia="fr-BE"/>
        </w:rPr>
        <w:lastRenderedPageBreak/>
        <w:t xml:space="preserve">want to assess the influence of the level of subscribers’ information on actual use of </w:t>
      </w:r>
      <w:r w:rsidR="00BD613F">
        <w:rPr>
          <w:rFonts w:ascii="Times New Roman" w:hAnsi="Times New Roman"/>
          <w:sz w:val="24"/>
          <w:szCs w:val="24"/>
          <w:lang w:val="en-US" w:eastAsia="fr-BE"/>
        </w:rPr>
        <w:t>the insurance policy</w:t>
      </w:r>
      <w:r>
        <w:rPr>
          <w:rFonts w:ascii="Times New Roman" w:hAnsi="Times New Roman"/>
          <w:sz w:val="24"/>
          <w:szCs w:val="24"/>
          <w:lang w:val="en-US" w:eastAsia="fr-BE"/>
        </w:rPr>
        <w:t>.</w:t>
      </w:r>
      <w:r w:rsidR="00934058">
        <w:rPr>
          <w:rFonts w:ascii="Times New Roman" w:hAnsi="Times New Roman"/>
          <w:sz w:val="24"/>
          <w:szCs w:val="24"/>
          <w:lang w:val="en-US" w:eastAsia="fr-BE"/>
        </w:rPr>
        <w:t xml:space="preserve"> Whether the quality of the services provided or the existence of incentive problems affects contract renewal</w:t>
      </w:r>
      <w:r w:rsidR="00EC6318">
        <w:rPr>
          <w:rFonts w:ascii="Times New Roman" w:hAnsi="Times New Roman"/>
          <w:sz w:val="24"/>
          <w:szCs w:val="24"/>
          <w:lang w:val="en-US" w:eastAsia="fr-BE"/>
        </w:rPr>
        <w:t xml:space="preserve"> (or satisfaction level) is</w:t>
      </w:r>
      <w:r w:rsidR="00934058">
        <w:rPr>
          <w:rFonts w:ascii="Times New Roman" w:hAnsi="Times New Roman"/>
          <w:sz w:val="24"/>
          <w:szCs w:val="24"/>
          <w:lang w:val="en-US" w:eastAsia="fr-BE"/>
        </w:rPr>
        <w:t xml:space="preserve"> assessed with the help of descriptive statistical evidence.</w:t>
      </w:r>
      <w:r w:rsidR="00495E14">
        <w:rPr>
          <w:rFonts w:ascii="Times New Roman" w:hAnsi="Times New Roman"/>
          <w:sz w:val="24"/>
          <w:szCs w:val="24"/>
          <w:lang w:val="en-US" w:eastAsia="fr-BE"/>
        </w:rPr>
        <w:t xml:space="preserve"> Regarding incentive problems</w:t>
      </w:r>
      <w:r w:rsidR="00EC6318">
        <w:rPr>
          <w:rFonts w:ascii="Times New Roman" w:hAnsi="Times New Roman"/>
          <w:sz w:val="24"/>
          <w:szCs w:val="24"/>
          <w:lang w:val="en-US" w:eastAsia="fr-BE"/>
        </w:rPr>
        <w:t>,</w:t>
      </w:r>
      <w:r w:rsidR="00495E14">
        <w:rPr>
          <w:rFonts w:ascii="Times New Roman" w:hAnsi="Times New Roman"/>
          <w:sz w:val="24"/>
          <w:szCs w:val="24"/>
          <w:lang w:val="en-US" w:eastAsia="fr-BE"/>
        </w:rPr>
        <w:t xml:space="preserve"> we have already noted in Section 2 that moral hazard behavior</w:t>
      </w:r>
      <w:r w:rsidR="00472685">
        <w:rPr>
          <w:rFonts w:ascii="Times New Roman" w:hAnsi="Times New Roman"/>
          <w:sz w:val="24"/>
          <w:szCs w:val="24"/>
          <w:lang w:val="en-US" w:eastAsia="fr-BE"/>
        </w:rPr>
        <w:t xml:space="preserve"> does not seem to be a major issue</w:t>
      </w:r>
      <w:r w:rsidR="00EC6318">
        <w:rPr>
          <w:rFonts w:ascii="Times New Roman" w:hAnsi="Times New Roman"/>
          <w:sz w:val="24"/>
          <w:szCs w:val="24"/>
          <w:lang w:val="en-US" w:eastAsia="fr-BE"/>
        </w:rPr>
        <w:t xml:space="preserve"> in the SSP program.</w:t>
      </w:r>
      <w:r w:rsidR="007263D5">
        <w:rPr>
          <w:rFonts w:ascii="Times New Roman" w:hAnsi="Times New Roman"/>
          <w:sz w:val="24"/>
          <w:szCs w:val="24"/>
          <w:lang w:val="en-US" w:eastAsia="fr-BE"/>
        </w:rPr>
        <w:t xml:space="preserve"> In addition, </w:t>
      </w:r>
      <w:r w:rsidR="00472685">
        <w:rPr>
          <w:rFonts w:ascii="Times New Roman" w:hAnsi="Times New Roman"/>
          <w:sz w:val="24"/>
          <w:szCs w:val="24"/>
          <w:lang w:val="en-US" w:eastAsia="fr-BE"/>
        </w:rPr>
        <w:t>the fact that households with a relatively high level</w:t>
      </w:r>
      <w:r w:rsidR="00A91F32">
        <w:rPr>
          <w:rFonts w:ascii="Times New Roman" w:hAnsi="Times New Roman"/>
          <w:sz w:val="24"/>
          <w:szCs w:val="24"/>
          <w:lang w:val="en-US" w:eastAsia="fr-BE"/>
        </w:rPr>
        <w:t xml:space="preserve"> of health and hygiene con</w:t>
      </w:r>
      <w:r w:rsidR="00472685">
        <w:rPr>
          <w:rFonts w:ascii="Times New Roman" w:hAnsi="Times New Roman"/>
          <w:sz w:val="24"/>
          <w:szCs w:val="24"/>
          <w:lang w:val="en-US" w:eastAsia="fr-BE"/>
        </w:rPr>
        <w:t>sciousness were more likely</w:t>
      </w:r>
      <w:r w:rsidR="00A91F32">
        <w:rPr>
          <w:rFonts w:ascii="Times New Roman" w:hAnsi="Times New Roman"/>
          <w:sz w:val="24"/>
          <w:szCs w:val="24"/>
          <w:lang w:val="en-US" w:eastAsia="fr-BE"/>
        </w:rPr>
        <w:t xml:space="preserve"> to enroll into </w:t>
      </w:r>
      <w:r w:rsidR="00472685">
        <w:rPr>
          <w:rFonts w:ascii="Times New Roman" w:hAnsi="Times New Roman"/>
          <w:sz w:val="24"/>
          <w:szCs w:val="24"/>
          <w:lang w:val="en-US" w:eastAsia="fr-BE"/>
        </w:rPr>
        <w:t>the program suggests</w:t>
      </w:r>
      <w:r w:rsidR="00A91F32">
        <w:rPr>
          <w:rFonts w:ascii="Times New Roman" w:hAnsi="Times New Roman"/>
          <w:sz w:val="24"/>
          <w:szCs w:val="24"/>
          <w:lang w:val="en-US" w:eastAsia="fr-BE"/>
        </w:rPr>
        <w:t xml:space="preserve"> that they do not fear being ‘exploited’</w:t>
      </w:r>
      <w:r w:rsidR="00731CF3">
        <w:rPr>
          <w:rFonts w:ascii="Times New Roman" w:hAnsi="Times New Roman"/>
          <w:sz w:val="24"/>
          <w:szCs w:val="24"/>
          <w:lang w:val="en-US" w:eastAsia="fr-BE"/>
        </w:rPr>
        <w:t xml:space="preserve"> by higher-risk</w:t>
      </w:r>
      <w:r w:rsidR="00A91F32">
        <w:rPr>
          <w:rFonts w:ascii="Times New Roman" w:hAnsi="Times New Roman"/>
          <w:sz w:val="24"/>
          <w:szCs w:val="24"/>
          <w:lang w:val="en-US" w:eastAsia="fr-BE"/>
        </w:rPr>
        <w:t xml:space="preserve"> households.</w:t>
      </w:r>
    </w:p>
    <w:p w:rsidR="00B71B3E" w:rsidRPr="00EA7726" w:rsidRDefault="00B71B3E" w:rsidP="00934058">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 xml:space="preserve">In the remainder of this </w:t>
      </w:r>
      <w:r w:rsidR="00934058">
        <w:rPr>
          <w:rFonts w:ascii="Times New Roman" w:hAnsi="Times New Roman"/>
          <w:sz w:val="24"/>
          <w:szCs w:val="24"/>
          <w:lang w:val="en-US" w:eastAsia="fr-BE"/>
        </w:rPr>
        <w:t>sub</w:t>
      </w:r>
      <w:r>
        <w:rPr>
          <w:rFonts w:ascii="Times New Roman" w:hAnsi="Times New Roman"/>
          <w:sz w:val="24"/>
          <w:szCs w:val="24"/>
          <w:lang w:val="en-US" w:eastAsia="fr-BE"/>
        </w:rPr>
        <w:t xml:space="preserve">section, we </w:t>
      </w:r>
      <w:r w:rsidR="00934058">
        <w:rPr>
          <w:rFonts w:ascii="Times New Roman" w:hAnsi="Times New Roman"/>
          <w:sz w:val="24"/>
          <w:szCs w:val="24"/>
          <w:lang w:val="en-US" w:eastAsia="fr-BE"/>
        </w:rPr>
        <w:t xml:space="preserve">review the different economic theories available to explain behavior toward risk with a special emphasis on their capacity to explain contract renewal decisions. In the next subsection, we will then turn to </w:t>
      </w:r>
      <w:r>
        <w:rPr>
          <w:rFonts w:ascii="Times New Roman" w:hAnsi="Times New Roman"/>
          <w:sz w:val="24"/>
          <w:szCs w:val="24"/>
          <w:lang w:val="en-US" w:eastAsia="fr-BE"/>
        </w:rPr>
        <w:t>discuss</w:t>
      </w:r>
      <w:r w:rsidR="00934058">
        <w:rPr>
          <w:rFonts w:ascii="Times New Roman" w:hAnsi="Times New Roman"/>
          <w:sz w:val="24"/>
          <w:szCs w:val="24"/>
          <w:lang w:val="en-US" w:eastAsia="fr-BE"/>
        </w:rPr>
        <w:t>ing</w:t>
      </w:r>
      <w:r>
        <w:rPr>
          <w:rFonts w:ascii="Times New Roman" w:hAnsi="Times New Roman"/>
          <w:sz w:val="24"/>
          <w:szCs w:val="24"/>
          <w:lang w:val="en-US" w:eastAsia="fr-BE"/>
        </w:rPr>
        <w:t xml:space="preserve"> the measures chosen for our three key </w:t>
      </w:r>
      <w:r w:rsidR="00270A6B">
        <w:rPr>
          <w:rFonts w:ascii="Times New Roman" w:hAnsi="Times New Roman"/>
          <w:sz w:val="24"/>
          <w:szCs w:val="24"/>
          <w:lang w:val="en-US" w:eastAsia="fr-BE"/>
        </w:rPr>
        <w:t>independent variables</w:t>
      </w:r>
      <w:r>
        <w:rPr>
          <w:rFonts w:ascii="Times New Roman" w:hAnsi="Times New Roman"/>
          <w:sz w:val="24"/>
          <w:szCs w:val="24"/>
          <w:lang w:val="en-US" w:eastAsia="fr-BE"/>
        </w:rPr>
        <w:t xml:space="preserve"> </w:t>
      </w:r>
      <w:r w:rsidR="00270A6B">
        <w:rPr>
          <w:rFonts w:ascii="Times New Roman" w:hAnsi="Times New Roman"/>
          <w:sz w:val="24"/>
          <w:szCs w:val="24"/>
          <w:lang w:val="en-US" w:eastAsia="fr-BE"/>
        </w:rPr>
        <w:t>‒</w:t>
      </w:r>
      <w:r>
        <w:rPr>
          <w:rFonts w:ascii="Times New Roman" w:hAnsi="Times New Roman"/>
          <w:sz w:val="24"/>
          <w:szCs w:val="24"/>
          <w:lang w:val="en-US" w:eastAsia="fr-BE"/>
        </w:rPr>
        <w:t>the degree of understanding of the notion of insurance, the degree of information regarding the insurance product and functioning of the scheme, and the net insurance payout</w:t>
      </w:r>
      <w:r w:rsidR="00270A6B">
        <w:rPr>
          <w:rFonts w:ascii="Times New Roman" w:hAnsi="Times New Roman"/>
          <w:sz w:val="24"/>
          <w:szCs w:val="24"/>
          <w:lang w:val="en-US" w:eastAsia="fr-BE"/>
        </w:rPr>
        <w:t>‒, and</w:t>
      </w:r>
      <w:r>
        <w:rPr>
          <w:rFonts w:ascii="Times New Roman" w:hAnsi="Times New Roman"/>
          <w:sz w:val="24"/>
          <w:szCs w:val="24"/>
          <w:lang w:val="en-US" w:eastAsia="fr-BE"/>
        </w:rPr>
        <w:t xml:space="preserve"> we provide</w:t>
      </w:r>
      <w:r w:rsidR="00270A6B">
        <w:rPr>
          <w:rFonts w:ascii="Times New Roman" w:hAnsi="Times New Roman"/>
          <w:sz w:val="24"/>
          <w:szCs w:val="24"/>
          <w:lang w:val="en-US" w:eastAsia="fr-BE"/>
        </w:rPr>
        <w:t xml:space="preserve"> the corresponding</w:t>
      </w:r>
      <w:r>
        <w:rPr>
          <w:rFonts w:ascii="Times New Roman" w:hAnsi="Times New Roman"/>
          <w:sz w:val="24"/>
          <w:szCs w:val="24"/>
          <w:lang w:val="en-US" w:eastAsia="fr-BE"/>
        </w:rPr>
        <w:t xml:space="preserve"> s</w:t>
      </w:r>
      <w:r w:rsidR="00270A6B">
        <w:rPr>
          <w:rFonts w:ascii="Times New Roman" w:hAnsi="Times New Roman"/>
          <w:sz w:val="24"/>
          <w:szCs w:val="24"/>
          <w:lang w:val="en-US" w:eastAsia="fr-BE"/>
        </w:rPr>
        <w:t>tatistics. Finally, we</w:t>
      </w:r>
      <w:r w:rsidR="00457120">
        <w:rPr>
          <w:rFonts w:ascii="Times New Roman" w:hAnsi="Times New Roman"/>
          <w:sz w:val="24"/>
          <w:szCs w:val="24"/>
          <w:lang w:val="en-US" w:eastAsia="fr-BE"/>
        </w:rPr>
        <w:t xml:space="preserve"> present</w:t>
      </w:r>
      <w:r w:rsidR="00270A6B">
        <w:rPr>
          <w:rFonts w:ascii="Times New Roman" w:hAnsi="Times New Roman"/>
          <w:sz w:val="24"/>
          <w:szCs w:val="24"/>
          <w:lang w:val="en-US" w:eastAsia="fr-BE"/>
        </w:rPr>
        <w:t xml:space="preserve"> additional relevant statistical evidence.</w:t>
      </w:r>
    </w:p>
    <w:p w:rsidR="00B71B3E" w:rsidRDefault="000864BE" w:rsidP="00B71B3E">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A central intuiti</w:t>
      </w:r>
      <w:r w:rsidR="005E3AD2">
        <w:rPr>
          <w:rFonts w:ascii="Times New Roman" w:hAnsi="Times New Roman"/>
          <w:sz w:val="24"/>
          <w:szCs w:val="24"/>
          <w:lang w:val="en-US" w:eastAsia="fr-BE"/>
        </w:rPr>
        <w:t>on behind the present attempt -</w:t>
      </w:r>
      <w:r>
        <w:rPr>
          <w:rFonts w:ascii="Times New Roman" w:hAnsi="Times New Roman"/>
          <w:sz w:val="24"/>
          <w:szCs w:val="24"/>
          <w:lang w:val="en-US" w:eastAsia="fr-BE"/>
        </w:rPr>
        <w:t>t</w:t>
      </w:r>
      <w:r w:rsidR="00B71B3E">
        <w:rPr>
          <w:rFonts w:ascii="Times New Roman" w:hAnsi="Times New Roman"/>
          <w:sz w:val="24"/>
          <w:szCs w:val="24"/>
          <w:lang w:val="en-US" w:eastAsia="fr-BE"/>
        </w:rPr>
        <w:t xml:space="preserve">he idea that people, especially in poor village societies, </w:t>
      </w:r>
      <w:r w:rsidR="005E3AD2">
        <w:rPr>
          <w:rFonts w:ascii="Times New Roman" w:hAnsi="Times New Roman"/>
          <w:sz w:val="24"/>
          <w:szCs w:val="24"/>
          <w:lang w:val="en-US" w:eastAsia="fr-BE"/>
        </w:rPr>
        <w:t xml:space="preserve">are subject to </w:t>
      </w:r>
      <w:r w:rsidR="003C1A64">
        <w:rPr>
          <w:rFonts w:ascii="Times New Roman" w:hAnsi="Times New Roman"/>
          <w:sz w:val="24"/>
          <w:szCs w:val="24"/>
          <w:lang w:val="en-US" w:eastAsia="fr-BE"/>
        </w:rPr>
        <w:t xml:space="preserve">a </w:t>
      </w:r>
      <w:r w:rsidR="005E3AD2">
        <w:rPr>
          <w:rFonts w:ascii="Times New Roman" w:hAnsi="Times New Roman"/>
          <w:sz w:val="24"/>
          <w:szCs w:val="24"/>
          <w:lang w:val="en-US" w:eastAsia="fr-BE"/>
        </w:rPr>
        <w:t>strong cognitive bias</w:t>
      </w:r>
      <w:r w:rsidR="003C1A64">
        <w:rPr>
          <w:rFonts w:ascii="Times New Roman" w:hAnsi="Times New Roman"/>
          <w:sz w:val="24"/>
          <w:szCs w:val="24"/>
          <w:lang w:val="en-US" w:eastAsia="fr-BE"/>
        </w:rPr>
        <w:t xml:space="preserve"> that precludes them from</w:t>
      </w:r>
      <w:r w:rsidR="00B71B3E">
        <w:rPr>
          <w:rFonts w:ascii="Times New Roman" w:hAnsi="Times New Roman"/>
          <w:sz w:val="24"/>
          <w:szCs w:val="24"/>
          <w:lang w:val="en-US" w:eastAsia="fr-BE"/>
        </w:rPr>
        <w:t xml:space="preserve"> correctly grasp</w:t>
      </w:r>
      <w:r w:rsidR="003C1A64">
        <w:rPr>
          <w:rFonts w:ascii="Times New Roman" w:hAnsi="Times New Roman"/>
          <w:sz w:val="24"/>
          <w:szCs w:val="24"/>
          <w:lang w:val="en-US" w:eastAsia="fr-BE"/>
        </w:rPr>
        <w:t>ing</w:t>
      </w:r>
      <w:r w:rsidR="00B71B3E">
        <w:rPr>
          <w:rFonts w:ascii="Times New Roman" w:hAnsi="Times New Roman"/>
          <w:sz w:val="24"/>
          <w:szCs w:val="24"/>
          <w:lang w:val="en-US" w:eastAsia="fr-BE"/>
        </w:rPr>
        <w:t xml:space="preserve"> the concept of insurance</w:t>
      </w:r>
      <w:r w:rsidR="003C1A64">
        <w:rPr>
          <w:rFonts w:ascii="Times New Roman" w:hAnsi="Times New Roman"/>
          <w:sz w:val="24"/>
          <w:szCs w:val="24"/>
          <w:lang w:val="en-US" w:eastAsia="fr-BE"/>
        </w:rPr>
        <w:t>- has been discuss</w:t>
      </w:r>
      <w:r w:rsidR="00B71B3E">
        <w:rPr>
          <w:rFonts w:ascii="Times New Roman" w:hAnsi="Times New Roman"/>
          <w:sz w:val="24"/>
          <w:szCs w:val="24"/>
          <w:lang w:val="en-US" w:eastAsia="fr-BE"/>
        </w:rPr>
        <w:t xml:space="preserve">ed and </w:t>
      </w:r>
      <w:r w:rsidR="003C1A64">
        <w:rPr>
          <w:rFonts w:ascii="Times New Roman" w:hAnsi="Times New Roman"/>
          <w:sz w:val="24"/>
          <w:szCs w:val="24"/>
          <w:lang w:val="en-US" w:eastAsia="fr-BE"/>
        </w:rPr>
        <w:t>illustrat</w:t>
      </w:r>
      <w:r w:rsidR="00B71B3E">
        <w:rPr>
          <w:rFonts w:ascii="Times New Roman" w:hAnsi="Times New Roman"/>
          <w:sz w:val="24"/>
          <w:szCs w:val="24"/>
          <w:lang w:val="en-US" w:eastAsia="fr-BE"/>
        </w:rPr>
        <w:t>ed by Platteau (1997)</w:t>
      </w:r>
      <w:r w:rsidR="003C1A64">
        <w:rPr>
          <w:rFonts w:ascii="Times New Roman" w:hAnsi="Times New Roman"/>
          <w:sz w:val="24"/>
          <w:szCs w:val="24"/>
          <w:lang w:val="en-US" w:eastAsia="fr-BE"/>
        </w:rPr>
        <w:t xml:space="preserve"> in the case of Senegal</w:t>
      </w:r>
      <w:r w:rsidR="00B71B3E">
        <w:rPr>
          <w:rFonts w:ascii="Times New Roman" w:hAnsi="Times New Roman"/>
          <w:sz w:val="24"/>
          <w:szCs w:val="24"/>
          <w:lang w:val="en-US" w:eastAsia="fr-BE"/>
        </w:rPr>
        <w:t>. Based on anthropological evidence from mutual</w:t>
      </w:r>
      <w:r w:rsidR="003C1A64">
        <w:rPr>
          <w:rFonts w:ascii="Times New Roman" w:hAnsi="Times New Roman"/>
          <w:sz w:val="24"/>
          <w:szCs w:val="24"/>
          <w:lang w:val="en-US" w:eastAsia="fr-BE"/>
        </w:rPr>
        <w:t xml:space="preserve"> sea rescue groups in</w:t>
      </w:r>
      <w:r w:rsidR="00B71B3E">
        <w:rPr>
          <w:rFonts w:ascii="Times New Roman" w:hAnsi="Times New Roman"/>
          <w:sz w:val="24"/>
          <w:szCs w:val="24"/>
          <w:lang w:val="en-US" w:eastAsia="fr-BE"/>
        </w:rPr>
        <w:t xml:space="preserve"> fishing villages, he argues that people interpret insurance in terms of their traditional logic of balanced reciprocity. This implies, in particular, that the insurance premium (or the labor contribution toward helping a fellow fisherman) is conceived as a payment that must be compensated for within a reasonable span of time. If it is not, they think that they have the right to leave the insurance group and to have the (cash) pr</w:t>
      </w:r>
      <w:r w:rsidR="00472685">
        <w:rPr>
          <w:rFonts w:ascii="Times New Roman" w:hAnsi="Times New Roman"/>
          <w:sz w:val="24"/>
          <w:szCs w:val="24"/>
          <w:lang w:val="en-US" w:eastAsia="fr-BE"/>
        </w:rPr>
        <w:t>emium returned to them. Revealingly,</w:t>
      </w:r>
      <w:r w:rsidR="00B71B3E">
        <w:rPr>
          <w:rFonts w:ascii="Times New Roman" w:hAnsi="Times New Roman"/>
          <w:sz w:val="24"/>
          <w:szCs w:val="24"/>
          <w:lang w:val="en-US" w:eastAsia="fr-BE"/>
        </w:rPr>
        <w:t xml:space="preserve"> when co</w:t>
      </w:r>
      <w:r w:rsidR="00472685">
        <w:rPr>
          <w:rFonts w:ascii="Times New Roman" w:hAnsi="Times New Roman"/>
          <w:sz w:val="24"/>
          <w:szCs w:val="24"/>
          <w:lang w:val="en-US" w:eastAsia="fr-BE"/>
        </w:rPr>
        <w:t>nfronted with such a demand,</w:t>
      </w:r>
      <w:r w:rsidR="00B71B3E">
        <w:rPr>
          <w:rFonts w:ascii="Times New Roman" w:hAnsi="Times New Roman"/>
          <w:sz w:val="24"/>
          <w:szCs w:val="24"/>
          <w:lang w:val="en-US" w:eastAsia="fr-BE"/>
        </w:rPr>
        <w:t xml:space="preserve"> other members of the group considered it legitimate</w:t>
      </w:r>
      <w:r w:rsidR="00472685">
        <w:rPr>
          <w:rFonts w:ascii="Times New Roman" w:hAnsi="Times New Roman"/>
          <w:sz w:val="24"/>
          <w:szCs w:val="24"/>
          <w:lang w:val="en-US" w:eastAsia="fr-BE"/>
        </w:rPr>
        <w:t xml:space="preserve"> and complied. E</w:t>
      </w:r>
      <w:r w:rsidR="00B71B3E">
        <w:rPr>
          <w:rFonts w:ascii="Times New Roman" w:hAnsi="Times New Roman"/>
          <w:sz w:val="24"/>
          <w:szCs w:val="24"/>
          <w:lang w:val="en-US" w:eastAsia="fr-BE"/>
        </w:rPr>
        <w:t>vi</w:t>
      </w:r>
      <w:r w:rsidR="00472685">
        <w:rPr>
          <w:rFonts w:ascii="Times New Roman" w:hAnsi="Times New Roman"/>
          <w:sz w:val="24"/>
          <w:szCs w:val="24"/>
          <w:lang w:val="en-US" w:eastAsia="fr-BE"/>
        </w:rPr>
        <w:t>dence from Uganda</w:t>
      </w:r>
      <w:r w:rsidR="00B71B3E">
        <w:rPr>
          <w:rFonts w:ascii="Times New Roman" w:hAnsi="Times New Roman"/>
          <w:sz w:val="24"/>
          <w:szCs w:val="24"/>
          <w:lang w:val="en-US" w:eastAsia="fr-BE"/>
        </w:rPr>
        <w:t xml:space="preserve"> </w:t>
      </w:r>
      <w:r w:rsidR="00B71B3E" w:rsidRPr="00051A31">
        <w:rPr>
          <w:rFonts w:ascii="Times New Roman" w:hAnsi="Times New Roman"/>
          <w:sz w:val="24"/>
          <w:szCs w:val="24"/>
          <w:lang w:val="en-US" w:eastAsia="fr-BE"/>
        </w:rPr>
        <w:t>(Basaza et al., 2008)</w:t>
      </w:r>
      <w:r w:rsidR="00B71B3E" w:rsidRPr="005F56D8">
        <w:rPr>
          <w:rFonts w:ascii="Times New Roman" w:hAnsi="Times New Roman"/>
          <w:b/>
          <w:sz w:val="24"/>
          <w:szCs w:val="24"/>
          <w:lang w:val="en-US" w:eastAsia="fr-BE"/>
        </w:rPr>
        <w:t xml:space="preserve"> </w:t>
      </w:r>
      <w:r w:rsidR="00472685">
        <w:rPr>
          <w:rFonts w:ascii="Times New Roman" w:hAnsi="Times New Roman"/>
          <w:sz w:val="24"/>
          <w:szCs w:val="24"/>
          <w:lang w:val="en-US" w:eastAsia="fr-BE"/>
        </w:rPr>
        <w:t>bear out the view of insurance as credit, which</w:t>
      </w:r>
      <w:r w:rsidR="00B71B3E">
        <w:rPr>
          <w:rFonts w:ascii="Times New Roman" w:hAnsi="Times New Roman"/>
          <w:sz w:val="24"/>
          <w:szCs w:val="24"/>
          <w:lang w:val="en-US" w:eastAsia="fr-BE"/>
        </w:rPr>
        <w:t xml:space="preserve"> is reflected in the expressed belief that, if an individual has not received any payout during the past year, he (she) ought not to pay the (health insurance) premium for the subsequent year. </w:t>
      </w:r>
      <w:r w:rsidR="00382DEF">
        <w:rPr>
          <w:rFonts w:ascii="Times New Roman" w:hAnsi="Times New Roman"/>
          <w:sz w:val="24"/>
          <w:szCs w:val="24"/>
          <w:lang w:val="en-US" w:eastAsia="fr-BE"/>
        </w:rPr>
        <w:t>In India,</w:t>
      </w:r>
      <w:r w:rsidR="001E0C38">
        <w:rPr>
          <w:rFonts w:ascii="Times New Roman" w:hAnsi="Times New Roman"/>
          <w:sz w:val="24"/>
          <w:szCs w:val="24"/>
          <w:lang w:val="en-US" w:eastAsia="fr-BE"/>
        </w:rPr>
        <w:t xml:space="preserve"> a rainfall</w:t>
      </w:r>
      <w:r w:rsidR="00382DEF">
        <w:rPr>
          <w:rFonts w:ascii="Times New Roman" w:hAnsi="Times New Roman"/>
          <w:sz w:val="24"/>
          <w:szCs w:val="24"/>
          <w:lang w:val="en-US" w:eastAsia="fr-BE"/>
        </w:rPr>
        <w:t xml:space="preserve"> index insura</w:t>
      </w:r>
      <w:r w:rsidR="001E0C38">
        <w:rPr>
          <w:rFonts w:ascii="Times New Roman" w:hAnsi="Times New Roman"/>
          <w:sz w:val="24"/>
          <w:szCs w:val="24"/>
          <w:lang w:val="en-US" w:eastAsia="fr-BE"/>
        </w:rPr>
        <w:t>nce program</w:t>
      </w:r>
      <w:r w:rsidR="00382DEF">
        <w:rPr>
          <w:rFonts w:ascii="Times New Roman" w:hAnsi="Times New Roman"/>
          <w:sz w:val="24"/>
          <w:szCs w:val="24"/>
          <w:lang w:val="en-US" w:eastAsia="fr-BE"/>
        </w:rPr>
        <w:t xml:space="preserve"> had to be redesigned and restarted “after there were massive cancellations of contracts by farmers disappointed by the lack of payments in a normal year” (Carter et al., 2008: 1).</w:t>
      </w:r>
      <w:r w:rsidR="00F82955">
        <w:rPr>
          <w:rFonts w:ascii="Times New Roman" w:hAnsi="Times New Roman"/>
          <w:sz w:val="24"/>
          <w:szCs w:val="24"/>
          <w:lang w:val="en-US" w:eastAsia="fr-BE"/>
        </w:rPr>
        <w:t xml:space="preserve"> A randomized </w:t>
      </w:r>
      <w:r w:rsidR="00F82955">
        <w:rPr>
          <w:rFonts w:ascii="Times New Roman" w:hAnsi="Times New Roman"/>
          <w:sz w:val="24"/>
          <w:szCs w:val="24"/>
          <w:lang w:val="en-US" w:eastAsia="fr-BE"/>
        </w:rPr>
        <w:lastRenderedPageBreak/>
        <w:t>experiment carried out in Ghana shows that the lack of insurance payments during the previous year has the effect of reducing insurance uptake (Karlan et al., 2013).</w:t>
      </w:r>
    </w:p>
    <w:p w:rsidR="004530A2" w:rsidRDefault="004530A2" w:rsidP="00B71B3E">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In the same line, Kunreuther et al. (2013) have noticed the pervasive existence</w:t>
      </w:r>
      <w:r w:rsidR="00FC2D2C">
        <w:rPr>
          <w:rFonts w:ascii="Times New Roman" w:hAnsi="Times New Roman"/>
          <w:sz w:val="24"/>
          <w:szCs w:val="24"/>
          <w:lang w:val="en-US" w:eastAsia="fr-BE"/>
        </w:rPr>
        <w:t xml:space="preserve"> in developed countries</w:t>
      </w:r>
      <w:r>
        <w:rPr>
          <w:rFonts w:ascii="Times New Roman" w:hAnsi="Times New Roman"/>
          <w:sz w:val="24"/>
          <w:szCs w:val="24"/>
          <w:lang w:val="en-US" w:eastAsia="fr-BE"/>
        </w:rPr>
        <w:t xml:space="preserve"> of what they call an “underpurchase demand-side anomaly”: after maintaining insurance coverage for several years and never submitting a claim, many individuals choose to cancel their policy (e.g., in the US market for flood insurance). They explain </w:t>
      </w:r>
      <w:r w:rsidR="00F8625C">
        <w:rPr>
          <w:rFonts w:ascii="Times New Roman" w:hAnsi="Times New Roman"/>
          <w:sz w:val="24"/>
          <w:szCs w:val="24"/>
          <w:lang w:val="en-US" w:eastAsia="fr-BE"/>
        </w:rPr>
        <w:t xml:space="preserve">such failure to maintain coverage by the fact that consumers treat insurance as a short-term investment so that, if they have not collected on their policy over several years, they feel that the premiums paid have been wasted (pp. </w:t>
      </w:r>
      <w:r w:rsidR="00E33A39">
        <w:rPr>
          <w:rFonts w:ascii="Times New Roman" w:hAnsi="Times New Roman"/>
          <w:sz w:val="24"/>
          <w:szCs w:val="24"/>
          <w:lang w:val="en-US" w:eastAsia="fr-BE"/>
        </w:rPr>
        <w:t xml:space="preserve">104-105, </w:t>
      </w:r>
      <w:r w:rsidR="00F8625C">
        <w:rPr>
          <w:rFonts w:ascii="Times New Roman" w:hAnsi="Times New Roman"/>
          <w:sz w:val="24"/>
          <w:szCs w:val="24"/>
          <w:lang w:val="en-US" w:eastAsia="fr-BE"/>
        </w:rPr>
        <w:t>117-18).</w:t>
      </w:r>
      <w:r>
        <w:rPr>
          <w:rFonts w:ascii="Times New Roman" w:hAnsi="Times New Roman"/>
          <w:sz w:val="24"/>
          <w:szCs w:val="24"/>
          <w:lang w:val="en-US" w:eastAsia="fr-BE"/>
        </w:rPr>
        <w:t xml:space="preserve">   </w:t>
      </w:r>
    </w:p>
    <w:p w:rsidR="00B71B3E" w:rsidRDefault="00A2316D" w:rsidP="00B71B3E">
      <w:pPr>
        <w:spacing w:after="240" w:line="360" w:lineRule="auto"/>
        <w:ind w:firstLine="426"/>
        <w:jc w:val="both"/>
        <w:rPr>
          <w:rFonts w:ascii="Times New Roman" w:hAnsi="Times New Roman"/>
          <w:sz w:val="24"/>
          <w:szCs w:val="24"/>
          <w:lang w:val="en-US" w:eastAsia="fr-BE"/>
        </w:rPr>
      </w:pPr>
      <w:r>
        <w:rPr>
          <w:rFonts w:ascii="Times New Roman" w:hAnsi="Times New Roman"/>
          <w:sz w:val="24"/>
          <w:szCs w:val="24"/>
          <w:lang w:val="en-US" w:eastAsia="fr-BE"/>
        </w:rPr>
        <w:t>Clearly, the above</w:t>
      </w:r>
      <w:r w:rsidR="00B71B3E">
        <w:rPr>
          <w:rFonts w:ascii="Times New Roman" w:hAnsi="Times New Roman"/>
          <w:sz w:val="24"/>
          <w:szCs w:val="24"/>
          <w:lang w:val="en-US" w:eastAsia="fr-BE"/>
        </w:rPr>
        <w:t xml:space="preserve"> view</w:t>
      </w:r>
      <w:r>
        <w:rPr>
          <w:rFonts w:ascii="Times New Roman" w:hAnsi="Times New Roman"/>
          <w:sz w:val="24"/>
          <w:szCs w:val="24"/>
          <w:lang w:val="en-US" w:eastAsia="fr-BE"/>
        </w:rPr>
        <w:t>s violate</w:t>
      </w:r>
      <w:r w:rsidR="00B71B3E">
        <w:rPr>
          <w:rFonts w:ascii="Times New Roman" w:hAnsi="Times New Roman"/>
          <w:sz w:val="24"/>
          <w:szCs w:val="24"/>
          <w:lang w:val="en-US" w:eastAsia="fr-BE"/>
        </w:rPr>
        <w:t xml:space="preserve"> the prediction of expected utility theory which </w:t>
      </w:r>
      <w:r w:rsidR="00E81FEE">
        <w:rPr>
          <w:rFonts w:ascii="Times New Roman" w:hAnsi="Times New Roman"/>
          <w:sz w:val="24"/>
          <w:szCs w:val="24"/>
          <w:lang w:val="en-US" w:eastAsia="fr-BE"/>
        </w:rPr>
        <w:t xml:space="preserve">assumes that a risk-averse individual is interested in protection against the </w:t>
      </w:r>
      <w:r w:rsidR="00E81FEE">
        <w:rPr>
          <w:rFonts w:ascii="Times New Roman" w:hAnsi="Times New Roman"/>
          <w:i/>
          <w:sz w:val="24"/>
          <w:szCs w:val="24"/>
          <w:lang w:val="en-US" w:eastAsia="fr-BE"/>
        </w:rPr>
        <w:t xml:space="preserve">prospect </w:t>
      </w:r>
      <w:r w:rsidR="00E81FEE">
        <w:rPr>
          <w:rFonts w:ascii="Times New Roman" w:hAnsi="Times New Roman"/>
          <w:sz w:val="24"/>
          <w:szCs w:val="24"/>
          <w:lang w:val="en-US" w:eastAsia="fr-BE"/>
        </w:rPr>
        <w:t xml:space="preserve">(and not the actual occurrence) of a shock and its damaging consequences. </w:t>
      </w:r>
      <w:r w:rsidR="00B71B3E">
        <w:rPr>
          <w:rFonts w:ascii="Times New Roman" w:hAnsi="Times New Roman"/>
          <w:sz w:val="24"/>
          <w:szCs w:val="24"/>
          <w:lang w:val="en-US" w:eastAsia="fr-BE"/>
        </w:rPr>
        <w:t xml:space="preserve">An insurance transaction therefore implies that income is not only redistributed intertemporally (like in the case of </w:t>
      </w:r>
      <w:r w:rsidR="00E81FEE">
        <w:rPr>
          <w:rFonts w:ascii="Times New Roman" w:hAnsi="Times New Roman"/>
          <w:sz w:val="24"/>
          <w:szCs w:val="24"/>
          <w:lang w:val="en-US" w:eastAsia="fr-BE"/>
        </w:rPr>
        <w:t xml:space="preserve">a </w:t>
      </w:r>
      <w:r w:rsidR="00B71B3E">
        <w:rPr>
          <w:rFonts w:ascii="Times New Roman" w:hAnsi="Times New Roman"/>
          <w:sz w:val="24"/>
          <w:szCs w:val="24"/>
          <w:lang w:val="en-US" w:eastAsia="fr-BE"/>
        </w:rPr>
        <w:t>credit</w:t>
      </w:r>
      <w:r w:rsidR="00E81FEE">
        <w:rPr>
          <w:rFonts w:ascii="Times New Roman" w:hAnsi="Times New Roman"/>
          <w:sz w:val="24"/>
          <w:szCs w:val="24"/>
          <w:lang w:val="en-US" w:eastAsia="fr-BE"/>
        </w:rPr>
        <w:t xml:space="preserve"> or investment</w:t>
      </w:r>
      <w:r w:rsidR="00B71B3E">
        <w:rPr>
          <w:rFonts w:ascii="Times New Roman" w:hAnsi="Times New Roman"/>
          <w:sz w:val="24"/>
          <w:szCs w:val="24"/>
          <w:lang w:val="en-US" w:eastAsia="fr-BE"/>
        </w:rPr>
        <w:t>) but also redistributed from lucky to unlucky members in</w:t>
      </w:r>
      <w:r w:rsidR="00E81FEE">
        <w:rPr>
          <w:rFonts w:ascii="Times New Roman" w:hAnsi="Times New Roman"/>
          <w:sz w:val="24"/>
          <w:szCs w:val="24"/>
          <w:lang w:val="en-US" w:eastAsia="fr-BE"/>
        </w:rPr>
        <w:t xml:space="preserve">side the risk-pooling scheme. </w:t>
      </w:r>
      <w:r w:rsidR="00B71B3E">
        <w:rPr>
          <w:rFonts w:ascii="Times New Roman" w:hAnsi="Times New Roman"/>
          <w:sz w:val="24"/>
          <w:szCs w:val="24"/>
          <w:lang w:val="en-US" w:eastAsia="fr-BE"/>
        </w:rPr>
        <w:t xml:space="preserve">New theories of behavior toward risk have emerged during the last decades, </w:t>
      </w:r>
      <w:r w:rsidR="00DD7A29">
        <w:rPr>
          <w:rFonts w:ascii="Times New Roman" w:hAnsi="Times New Roman"/>
          <w:sz w:val="24"/>
          <w:szCs w:val="24"/>
          <w:lang w:val="en-US" w:eastAsia="fr-BE"/>
        </w:rPr>
        <w:t>and it is useful to</w:t>
      </w:r>
      <w:r w:rsidR="00C07009">
        <w:rPr>
          <w:rFonts w:ascii="Times New Roman" w:hAnsi="Times New Roman"/>
          <w:sz w:val="24"/>
          <w:szCs w:val="24"/>
          <w:lang w:val="en-US" w:eastAsia="fr-BE"/>
        </w:rPr>
        <w:t xml:space="preserve"> inquire into whether they are able to account for the aforementioned behavior anoma</w:t>
      </w:r>
      <w:r w:rsidR="00FC2D2C">
        <w:rPr>
          <w:rFonts w:ascii="Times New Roman" w:hAnsi="Times New Roman"/>
          <w:sz w:val="24"/>
          <w:szCs w:val="24"/>
          <w:lang w:val="en-US" w:eastAsia="fr-BE"/>
        </w:rPr>
        <w:t>lies. These theories include</w:t>
      </w:r>
      <w:r w:rsidR="00B71B3E">
        <w:rPr>
          <w:rFonts w:ascii="Times New Roman" w:hAnsi="Times New Roman"/>
          <w:sz w:val="24"/>
          <w:szCs w:val="24"/>
          <w:lang w:val="en-US" w:eastAsia="fr-BE"/>
        </w:rPr>
        <w:t xml:space="preserve"> the prospect theory </w:t>
      </w:r>
      <w:r w:rsidR="00B71B3E" w:rsidRPr="00051A31">
        <w:rPr>
          <w:rFonts w:ascii="Times New Roman" w:hAnsi="Times New Roman"/>
          <w:sz w:val="24"/>
          <w:szCs w:val="24"/>
          <w:lang w:val="en-US" w:eastAsia="fr-BE"/>
        </w:rPr>
        <w:t>(Kahneman and Tversky, 1979)</w:t>
      </w:r>
      <w:r w:rsidR="00B71B3E">
        <w:rPr>
          <w:rFonts w:ascii="Times New Roman" w:hAnsi="Times New Roman"/>
          <w:sz w:val="24"/>
          <w:szCs w:val="24"/>
          <w:lang w:val="en-US" w:eastAsia="fr-BE"/>
        </w:rPr>
        <w:t xml:space="preserve">, regret theory </w:t>
      </w:r>
      <w:r w:rsidR="00B71B3E" w:rsidRPr="00051A31">
        <w:rPr>
          <w:rFonts w:ascii="Times New Roman" w:hAnsi="Times New Roman"/>
          <w:sz w:val="24"/>
          <w:szCs w:val="24"/>
          <w:lang w:val="en-US" w:eastAsia="fr-BE"/>
        </w:rPr>
        <w:t>(</w:t>
      </w:r>
      <w:r w:rsidR="00B71B3E" w:rsidRPr="00051A31">
        <w:rPr>
          <w:rFonts w:ascii="Times New Roman" w:hAnsi="Times New Roman"/>
          <w:sz w:val="24"/>
          <w:szCs w:val="24"/>
          <w:lang w:val="en-US"/>
        </w:rPr>
        <w:t>Loomes and Sugden, 1982</w:t>
      </w:r>
      <w:r w:rsidR="00CF601B">
        <w:rPr>
          <w:rFonts w:ascii="Times New Roman" w:hAnsi="Times New Roman"/>
          <w:sz w:val="24"/>
          <w:szCs w:val="24"/>
          <w:lang w:val="en-US"/>
        </w:rPr>
        <w:t>; Bell, 1985</w:t>
      </w:r>
      <w:r w:rsidR="001730CD">
        <w:rPr>
          <w:rFonts w:ascii="Times New Roman" w:hAnsi="Times New Roman"/>
          <w:sz w:val="24"/>
          <w:szCs w:val="24"/>
          <w:lang w:val="en-US"/>
        </w:rPr>
        <w:t>; Braun and Muermann, 2004</w:t>
      </w:r>
      <w:r w:rsidR="00B71B3E" w:rsidRPr="00051A31">
        <w:rPr>
          <w:rFonts w:ascii="Times New Roman" w:hAnsi="Times New Roman"/>
          <w:sz w:val="24"/>
          <w:szCs w:val="24"/>
          <w:lang w:val="en-US" w:eastAsia="fr-BE"/>
        </w:rPr>
        <w:t>),</w:t>
      </w:r>
      <w:r w:rsidR="00B71B3E">
        <w:rPr>
          <w:rFonts w:ascii="Times New Roman" w:hAnsi="Times New Roman"/>
          <w:b/>
          <w:sz w:val="24"/>
          <w:szCs w:val="24"/>
          <w:lang w:val="en-US" w:eastAsia="fr-BE"/>
        </w:rPr>
        <w:t xml:space="preserve"> </w:t>
      </w:r>
      <w:r w:rsidR="00B71B3E">
        <w:rPr>
          <w:rFonts w:ascii="Times New Roman" w:hAnsi="Times New Roman"/>
          <w:sz w:val="24"/>
          <w:szCs w:val="24"/>
          <w:lang w:val="en-US" w:eastAsia="fr-BE"/>
        </w:rPr>
        <w:t xml:space="preserve">ambiguity aversion theory </w:t>
      </w:r>
      <w:r w:rsidR="00B71B3E" w:rsidRPr="00051A31">
        <w:rPr>
          <w:rFonts w:ascii="Times New Roman" w:hAnsi="Times New Roman"/>
          <w:sz w:val="24"/>
          <w:szCs w:val="24"/>
          <w:lang w:val="en-US" w:eastAsia="fr-BE"/>
        </w:rPr>
        <w:t>(Ellsberg, 1961),</w:t>
      </w:r>
      <w:r w:rsidR="00B71B3E">
        <w:rPr>
          <w:rFonts w:ascii="Times New Roman" w:hAnsi="Times New Roman"/>
          <w:b/>
          <w:sz w:val="24"/>
          <w:szCs w:val="24"/>
          <w:lang w:val="en-US" w:eastAsia="fr-BE"/>
        </w:rPr>
        <w:t xml:space="preserve"> </w:t>
      </w:r>
      <w:r w:rsidR="00B71B3E">
        <w:rPr>
          <w:rFonts w:ascii="Times New Roman" w:hAnsi="Times New Roman"/>
          <w:sz w:val="24"/>
          <w:szCs w:val="24"/>
          <w:lang w:val="en-US" w:eastAsia="fr-BE"/>
        </w:rPr>
        <w:t xml:space="preserve">loss aversion theory </w:t>
      </w:r>
      <w:r w:rsidR="00B71B3E" w:rsidRPr="00051A31">
        <w:rPr>
          <w:rFonts w:ascii="Times New Roman" w:hAnsi="Times New Roman"/>
          <w:sz w:val="24"/>
          <w:szCs w:val="24"/>
          <w:lang w:val="en-US" w:eastAsia="fr-BE"/>
        </w:rPr>
        <w:t>(</w:t>
      </w:r>
      <w:r w:rsidR="00CF601B">
        <w:rPr>
          <w:rFonts w:ascii="Times New Roman" w:hAnsi="Times New Roman"/>
          <w:sz w:val="24"/>
          <w:szCs w:val="24"/>
          <w:lang w:val="en-US" w:eastAsia="fr-BE"/>
        </w:rPr>
        <w:t xml:space="preserve">Kunreuther et al., 2013: 96-101; </w:t>
      </w:r>
      <w:r w:rsidR="00B71B3E" w:rsidRPr="00051A31">
        <w:rPr>
          <w:rFonts w:ascii="Times New Roman" w:hAnsi="Times New Roman"/>
          <w:sz w:val="24"/>
          <w:szCs w:val="24"/>
          <w:lang w:val="en-US" w:eastAsia="fr-BE"/>
        </w:rPr>
        <w:t>Stein, 2011),</w:t>
      </w:r>
      <w:r w:rsidR="00B71B3E">
        <w:rPr>
          <w:rFonts w:ascii="Times New Roman" w:hAnsi="Times New Roman"/>
          <w:sz w:val="24"/>
          <w:szCs w:val="24"/>
          <w:lang w:val="en-US" w:eastAsia="fr-BE"/>
        </w:rPr>
        <w:t xml:space="preserve"> the “hot-hand effect” theory </w:t>
      </w:r>
      <w:r w:rsidR="00B71B3E" w:rsidRPr="00051A31">
        <w:rPr>
          <w:rFonts w:ascii="Times New Roman" w:hAnsi="Times New Roman"/>
          <w:sz w:val="24"/>
          <w:szCs w:val="24"/>
          <w:lang w:val="en-US" w:eastAsia="fr-BE"/>
        </w:rPr>
        <w:t>(Gilovich et al., 1985)</w:t>
      </w:r>
      <w:r w:rsidR="00B71B3E">
        <w:rPr>
          <w:rFonts w:ascii="Times New Roman" w:hAnsi="Times New Roman"/>
          <w:sz w:val="24"/>
          <w:szCs w:val="24"/>
          <w:lang w:val="en-US" w:eastAsia="fr-BE"/>
        </w:rPr>
        <w:t xml:space="preserve">, or the “status-quo bias” theory </w:t>
      </w:r>
      <w:r w:rsidR="00B71B3E" w:rsidRPr="00051A31">
        <w:rPr>
          <w:rFonts w:ascii="Times New Roman" w:hAnsi="Times New Roman"/>
          <w:sz w:val="24"/>
          <w:szCs w:val="24"/>
          <w:lang w:val="en-US" w:eastAsia="fr-BE"/>
        </w:rPr>
        <w:t>(</w:t>
      </w:r>
      <w:r w:rsidR="009C261E">
        <w:rPr>
          <w:rFonts w:ascii="Times New Roman" w:hAnsi="Times New Roman"/>
          <w:sz w:val="24"/>
          <w:szCs w:val="24"/>
          <w:lang w:val="en-US" w:eastAsia="fr-FR"/>
        </w:rPr>
        <w:t xml:space="preserve">Samuelson and Zeckhauser, 1988; </w:t>
      </w:r>
      <w:r w:rsidR="00B71B3E" w:rsidRPr="00051A31">
        <w:rPr>
          <w:rFonts w:ascii="Times New Roman" w:hAnsi="Times New Roman"/>
          <w:sz w:val="24"/>
          <w:szCs w:val="24"/>
          <w:lang w:val="en-US" w:eastAsia="fr-BE"/>
        </w:rPr>
        <w:t>Cai et al., 2011).</w:t>
      </w:r>
    </w:p>
    <w:p w:rsidR="003618DF" w:rsidRDefault="00C07009" w:rsidP="00B71B3E">
      <w:pPr>
        <w:spacing w:line="360" w:lineRule="auto"/>
        <w:ind w:right="17" w:firstLine="426"/>
        <w:jc w:val="both"/>
        <w:rPr>
          <w:rFonts w:ascii="Times New Roman" w:hAnsi="Times New Roman"/>
          <w:sz w:val="24"/>
          <w:szCs w:val="24"/>
          <w:lang w:val="en-US"/>
        </w:rPr>
      </w:pPr>
      <w:r>
        <w:rPr>
          <w:rFonts w:ascii="Times New Roman" w:hAnsi="Times New Roman"/>
          <w:sz w:val="24"/>
          <w:szCs w:val="24"/>
          <w:lang w:val="en-US" w:eastAsia="fr-BE"/>
        </w:rPr>
        <w:t>R</w:t>
      </w:r>
      <w:r w:rsidR="00B71B3E">
        <w:rPr>
          <w:rFonts w:ascii="Times New Roman" w:hAnsi="Times New Roman"/>
          <w:sz w:val="24"/>
          <w:szCs w:val="24"/>
          <w:lang w:val="en-US"/>
        </w:rPr>
        <w:t xml:space="preserve">egret theory assumes that </w:t>
      </w:r>
      <w:r w:rsidR="00B71B3E" w:rsidRPr="00F2139D">
        <w:rPr>
          <w:rFonts w:ascii="Times New Roman" w:hAnsi="Times New Roman"/>
          <w:sz w:val="24"/>
          <w:szCs w:val="24"/>
          <w:lang w:val="en-US"/>
        </w:rPr>
        <w:t>the psychological experience of pleasure or displeasure associated with a particular result of an act of choice (assuming that the result is determined by th</w:t>
      </w:r>
      <w:r w:rsidR="00B71B3E">
        <w:rPr>
          <w:rFonts w:ascii="Times New Roman" w:hAnsi="Times New Roman"/>
          <w:sz w:val="24"/>
          <w:szCs w:val="24"/>
          <w:lang w:val="en-US"/>
        </w:rPr>
        <w:t>e state of nature that is realiz</w:t>
      </w:r>
      <w:r w:rsidR="00B71B3E" w:rsidRPr="00F2139D">
        <w:rPr>
          <w:rFonts w:ascii="Times New Roman" w:hAnsi="Times New Roman"/>
          <w:sz w:val="24"/>
          <w:szCs w:val="24"/>
          <w:lang w:val="en-US"/>
        </w:rPr>
        <w:t>ed) will depend not only on the result itself but also on the alternative outcomes that would have arisen had ot</w:t>
      </w:r>
      <w:r w:rsidR="00B71B3E">
        <w:rPr>
          <w:rFonts w:ascii="Times New Roman" w:hAnsi="Times New Roman"/>
          <w:sz w:val="24"/>
          <w:szCs w:val="24"/>
          <w:lang w:val="en-US"/>
        </w:rPr>
        <w:t>her states of nature been realized.  Thus, i</w:t>
      </w:r>
      <w:r w:rsidR="00B71B3E" w:rsidRPr="00F2139D">
        <w:rPr>
          <w:rFonts w:ascii="Times New Roman" w:hAnsi="Times New Roman"/>
          <w:sz w:val="24"/>
          <w:szCs w:val="24"/>
          <w:lang w:val="en-US"/>
        </w:rPr>
        <w:t>f it appears ex post that the individual has taken the best decision, he experiences rejoicing while in the opposite cases he is subject to regret feelings</w:t>
      </w:r>
      <w:r w:rsidR="00B71B3E">
        <w:rPr>
          <w:rFonts w:ascii="Times New Roman" w:hAnsi="Times New Roman"/>
          <w:sz w:val="24"/>
          <w:szCs w:val="24"/>
          <w:lang w:val="en-US"/>
        </w:rPr>
        <w:t>. Since</w:t>
      </w:r>
      <w:r w:rsidR="00B71B3E" w:rsidRPr="00F2139D">
        <w:rPr>
          <w:rFonts w:ascii="Times New Roman" w:hAnsi="Times New Roman"/>
          <w:sz w:val="24"/>
          <w:szCs w:val="24"/>
          <w:lang w:val="en-US"/>
        </w:rPr>
        <w:t xml:space="preserve"> people may be able to anticipate</w:t>
      </w:r>
      <w:r w:rsidR="00B71B3E">
        <w:rPr>
          <w:rFonts w:ascii="Times New Roman" w:hAnsi="Times New Roman"/>
          <w:sz w:val="24"/>
          <w:szCs w:val="24"/>
          <w:lang w:val="en-US"/>
        </w:rPr>
        <w:t xml:space="preserve"> feelings of regret, they may decide to avoid entering into an insurance contract</w:t>
      </w:r>
      <w:r w:rsidR="00B71B3E" w:rsidRPr="00F2139D">
        <w:rPr>
          <w:rFonts w:ascii="Times New Roman" w:hAnsi="Times New Roman"/>
          <w:sz w:val="24"/>
          <w:szCs w:val="24"/>
          <w:lang w:val="en-US"/>
        </w:rPr>
        <w:t xml:space="preserve"> that</w:t>
      </w:r>
      <w:r w:rsidR="00B71B3E">
        <w:rPr>
          <w:rFonts w:ascii="Times New Roman" w:hAnsi="Times New Roman"/>
          <w:sz w:val="24"/>
          <w:szCs w:val="24"/>
          <w:lang w:val="en-US"/>
        </w:rPr>
        <w:t xml:space="preserve"> seems attractive in terms of</w:t>
      </w:r>
      <w:r w:rsidR="00B71B3E" w:rsidRPr="00F2139D">
        <w:rPr>
          <w:rFonts w:ascii="Times New Roman" w:hAnsi="Times New Roman"/>
          <w:sz w:val="24"/>
          <w:szCs w:val="24"/>
          <w:lang w:val="en-US"/>
        </w:rPr>
        <w:t xml:space="preserve"> conventional expected</w:t>
      </w:r>
      <w:r w:rsidR="00B71B3E">
        <w:rPr>
          <w:rFonts w:ascii="Times New Roman" w:hAnsi="Times New Roman"/>
          <w:sz w:val="24"/>
          <w:szCs w:val="24"/>
          <w:lang w:val="en-US"/>
        </w:rPr>
        <w:t xml:space="preserve"> utility theory.  A</w:t>
      </w:r>
      <w:r w:rsidR="00B71B3E" w:rsidRPr="00F2139D">
        <w:rPr>
          <w:rFonts w:ascii="Times New Roman" w:hAnsi="Times New Roman"/>
          <w:sz w:val="24"/>
          <w:szCs w:val="24"/>
          <w:lang w:val="en-US"/>
        </w:rPr>
        <w:t xml:space="preserve">s pointed out by </w:t>
      </w:r>
      <w:r w:rsidR="00B71B3E" w:rsidRPr="00051A31">
        <w:rPr>
          <w:rFonts w:ascii="Times New Roman" w:hAnsi="Times New Roman"/>
          <w:sz w:val="24"/>
          <w:szCs w:val="24"/>
          <w:lang w:val="en-US"/>
        </w:rPr>
        <w:t>Thaler (1991),</w:t>
      </w:r>
      <w:r w:rsidR="00B71B3E">
        <w:rPr>
          <w:rFonts w:ascii="Times New Roman" w:hAnsi="Times New Roman"/>
          <w:sz w:val="24"/>
          <w:szCs w:val="24"/>
          <w:lang w:val="en-US"/>
        </w:rPr>
        <w:t xml:space="preserve"> regret theory offers</w:t>
      </w:r>
      <w:r w:rsidR="00B71B3E" w:rsidRPr="00F2139D">
        <w:rPr>
          <w:rFonts w:ascii="Times New Roman" w:hAnsi="Times New Roman"/>
          <w:sz w:val="24"/>
          <w:szCs w:val="24"/>
          <w:lang w:val="en-US"/>
        </w:rPr>
        <w:t xml:space="preserve"> an intuitively plausible explanation of why people may well choose not to choose or to restrict the choice set in advance since this would suppress the </w:t>
      </w:r>
      <w:r w:rsidR="00B71B3E" w:rsidRPr="00F2139D">
        <w:rPr>
          <w:rFonts w:ascii="Times New Roman" w:hAnsi="Times New Roman"/>
          <w:sz w:val="24"/>
          <w:szCs w:val="24"/>
          <w:lang w:val="en-US"/>
        </w:rPr>
        <w:lastRenderedPageBreak/>
        <w:t>possibility of experiencing regret and the associated painful feelings of guilt and responsibility</w:t>
      </w:r>
      <w:r w:rsidR="00B71B3E">
        <w:rPr>
          <w:rFonts w:ascii="Times New Roman" w:hAnsi="Times New Roman"/>
          <w:sz w:val="24"/>
          <w:szCs w:val="24"/>
          <w:lang w:val="en-US"/>
        </w:rPr>
        <w:t xml:space="preserve"> (p. 16). </w:t>
      </w:r>
      <w:r w:rsidR="003618DF">
        <w:rPr>
          <w:rFonts w:ascii="Times New Roman" w:hAnsi="Times New Roman"/>
          <w:sz w:val="24"/>
          <w:szCs w:val="24"/>
          <w:lang w:val="en-US"/>
        </w:rPr>
        <w:t xml:space="preserve">However, the question remains as to why people are then unwilling to avoid an even more serious regret, that of experiencing a significant loss which they could have insured against but chose not to. </w:t>
      </w:r>
      <w:r w:rsidR="0059282C">
        <w:rPr>
          <w:rFonts w:ascii="Times New Roman" w:hAnsi="Times New Roman"/>
          <w:sz w:val="24"/>
          <w:szCs w:val="24"/>
          <w:lang w:val="en-US"/>
        </w:rPr>
        <w:t>For</w:t>
      </w:r>
      <w:r w:rsidR="00763A3C">
        <w:rPr>
          <w:rFonts w:ascii="Times New Roman" w:hAnsi="Times New Roman"/>
          <w:sz w:val="24"/>
          <w:szCs w:val="24"/>
          <w:lang w:val="en-US"/>
        </w:rPr>
        <w:t xml:space="preserve"> regret theory to explain reluctance to insure against a (low probability) shock, it must be the case that individuals narrowly frame short-term results so that they focus attention on the most frequent situations where the shock does not occur. Then, the problem of contract renewal does not arise.</w:t>
      </w:r>
      <w:r w:rsidR="00957897">
        <w:rPr>
          <w:rFonts w:ascii="Times New Roman" w:hAnsi="Times New Roman"/>
          <w:sz w:val="24"/>
          <w:szCs w:val="24"/>
          <w:lang w:val="en-US"/>
        </w:rPr>
        <w:t xml:space="preserve"> If, on the other hand, the narrow framing effect is not at play, individuals purchase the insurance policy and the ex post revelation that the shock did not occur should not prompt them to revise their initial decision. </w:t>
      </w:r>
    </w:p>
    <w:p w:rsidR="00B71B3E" w:rsidRDefault="00D65F17" w:rsidP="00B71B3E">
      <w:pPr>
        <w:spacing w:line="360" w:lineRule="auto"/>
        <w:ind w:right="17" w:firstLine="426"/>
        <w:jc w:val="both"/>
        <w:rPr>
          <w:rFonts w:ascii="Times New Roman" w:hAnsi="Times New Roman"/>
          <w:sz w:val="24"/>
          <w:szCs w:val="24"/>
          <w:lang w:val="en-US"/>
        </w:rPr>
      </w:pPr>
      <w:r>
        <w:rPr>
          <w:rFonts w:ascii="Times New Roman" w:hAnsi="Times New Roman"/>
          <w:sz w:val="24"/>
          <w:szCs w:val="24"/>
          <w:lang w:val="en-US"/>
        </w:rPr>
        <w:t>T</w:t>
      </w:r>
      <w:r w:rsidR="00933868">
        <w:rPr>
          <w:rFonts w:ascii="Times New Roman" w:hAnsi="Times New Roman"/>
          <w:sz w:val="24"/>
          <w:szCs w:val="24"/>
          <w:lang w:val="en-US"/>
        </w:rPr>
        <w:t>he ‘hyperbolic discounting’</w:t>
      </w:r>
      <w:r w:rsidR="00B71B3E">
        <w:rPr>
          <w:rFonts w:ascii="Times New Roman" w:hAnsi="Times New Roman"/>
          <w:sz w:val="24"/>
          <w:szCs w:val="24"/>
          <w:lang w:val="en-US"/>
        </w:rPr>
        <w:t xml:space="preserve"> component of prospect theory (time-inconsistent preferences) may explain why, when confronted with the request of an immediate payment of a premium, people may shun away from an actuarially fair insurance contract</w:t>
      </w:r>
      <w:r w:rsidR="00E36F06">
        <w:rPr>
          <w:rFonts w:ascii="Times New Roman" w:hAnsi="Times New Roman"/>
          <w:sz w:val="24"/>
          <w:szCs w:val="24"/>
          <w:lang w:val="en-US"/>
        </w:rPr>
        <w:t>.</w:t>
      </w:r>
      <w:r w:rsidR="00C97497">
        <w:rPr>
          <w:rFonts w:ascii="Times New Roman" w:hAnsi="Times New Roman"/>
          <w:sz w:val="24"/>
          <w:szCs w:val="24"/>
          <w:lang w:val="en-US"/>
        </w:rPr>
        <w:t xml:space="preserve"> T</w:t>
      </w:r>
      <w:r w:rsidR="00B35027">
        <w:rPr>
          <w:rFonts w:ascii="Times New Roman" w:hAnsi="Times New Roman"/>
          <w:sz w:val="24"/>
          <w:szCs w:val="24"/>
          <w:lang w:val="en-US"/>
        </w:rPr>
        <w:t>he</w:t>
      </w:r>
      <w:r w:rsidR="00C97497">
        <w:rPr>
          <w:rFonts w:ascii="Times New Roman" w:hAnsi="Times New Roman"/>
          <w:sz w:val="24"/>
          <w:szCs w:val="24"/>
          <w:lang w:val="en-US"/>
        </w:rPr>
        <w:t>refore, the</w:t>
      </w:r>
      <w:r w:rsidR="00B35027">
        <w:rPr>
          <w:rFonts w:ascii="Times New Roman" w:hAnsi="Times New Roman"/>
          <w:sz w:val="24"/>
          <w:szCs w:val="24"/>
          <w:lang w:val="en-US"/>
        </w:rPr>
        <w:t xml:space="preserve"> </w:t>
      </w:r>
      <w:r w:rsidR="00C97497">
        <w:rPr>
          <w:rFonts w:ascii="Times New Roman" w:hAnsi="Times New Roman"/>
          <w:sz w:val="24"/>
          <w:szCs w:val="24"/>
          <w:lang w:val="en-US"/>
        </w:rPr>
        <w:t>question of</w:t>
      </w:r>
      <w:r w:rsidR="00465F4D">
        <w:rPr>
          <w:rFonts w:ascii="Times New Roman" w:hAnsi="Times New Roman"/>
          <w:sz w:val="24"/>
          <w:szCs w:val="24"/>
          <w:lang w:val="en-US"/>
        </w:rPr>
        <w:t xml:space="preserve"> contract</w:t>
      </w:r>
      <w:r w:rsidR="00C97497">
        <w:rPr>
          <w:rFonts w:ascii="Times New Roman" w:hAnsi="Times New Roman"/>
          <w:sz w:val="24"/>
          <w:szCs w:val="24"/>
          <w:lang w:val="en-US"/>
        </w:rPr>
        <w:t xml:space="preserve"> renewal</w:t>
      </w:r>
      <w:r w:rsidR="00465F4D">
        <w:rPr>
          <w:rFonts w:ascii="Times New Roman" w:hAnsi="Times New Roman"/>
          <w:sz w:val="24"/>
          <w:szCs w:val="24"/>
          <w:lang w:val="en-US"/>
        </w:rPr>
        <w:t xml:space="preserve"> </w:t>
      </w:r>
      <w:r w:rsidR="00C97497">
        <w:rPr>
          <w:rFonts w:ascii="Times New Roman" w:hAnsi="Times New Roman"/>
          <w:sz w:val="24"/>
          <w:szCs w:val="24"/>
          <w:lang w:val="en-US"/>
        </w:rPr>
        <w:t>is not addressed</w:t>
      </w:r>
      <w:r w:rsidR="00B35027">
        <w:rPr>
          <w:rFonts w:ascii="Times New Roman" w:hAnsi="Times New Roman"/>
          <w:sz w:val="24"/>
          <w:szCs w:val="24"/>
          <w:lang w:val="en-US"/>
        </w:rPr>
        <w:t>.</w:t>
      </w:r>
      <w:r w:rsidR="00B71B3E">
        <w:rPr>
          <w:rFonts w:ascii="Times New Roman" w:hAnsi="Times New Roman"/>
          <w:sz w:val="24"/>
          <w:szCs w:val="24"/>
          <w:lang w:val="en-US"/>
        </w:rPr>
        <w:t xml:space="preserve"> The same holds true of the ambiguity aversion theory according to which people dislike uncertainty about the likelihood with which events occur, and not only uncertainty about the events themselves. </w:t>
      </w:r>
      <w:r w:rsidR="00CF3D05">
        <w:rPr>
          <w:rFonts w:ascii="Times New Roman" w:hAnsi="Times New Roman"/>
          <w:sz w:val="24"/>
          <w:szCs w:val="24"/>
          <w:lang w:val="en-US"/>
        </w:rPr>
        <w:t>Since they assume that the worst conceivable probability distribution is the true one when they evaluate their choice,</w:t>
      </w:r>
      <w:r w:rsidR="00855376">
        <w:rPr>
          <w:rFonts w:ascii="Times New Roman" w:hAnsi="Times New Roman"/>
          <w:sz w:val="24"/>
          <w:szCs w:val="24"/>
          <w:lang w:val="en-US"/>
        </w:rPr>
        <w:t xml:space="preserve"> they tend to be pessimistic</w:t>
      </w:r>
      <w:r w:rsidR="003C1A64">
        <w:rPr>
          <w:rFonts w:ascii="Times New Roman" w:hAnsi="Times New Roman"/>
          <w:sz w:val="24"/>
          <w:szCs w:val="24"/>
          <w:lang w:val="en-US"/>
        </w:rPr>
        <w:t xml:space="preserve"> </w:t>
      </w:r>
      <w:r w:rsidR="003C1A64" w:rsidRPr="00051A31">
        <w:rPr>
          <w:rFonts w:ascii="Times New Roman" w:hAnsi="Times New Roman"/>
          <w:sz w:val="24"/>
          <w:szCs w:val="24"/>
          <w:lang w:val="en-US"/>
        </w:rPr>
        <w:t>(Bryan, 2010)</w:t>
      </w:r>
      <w:r w:rsidR="00B71B3E" w:rsidRPr="00051A31">
        <w:rPr>
          <w:rFonts w:ascii="Times New Roman" w:hAnsi="Times New Roman"/>
          <w:sz w:val="24"/>
          <w:szCs w:val="24"/>
          <w:lang w:val="en-US"/>
        </w:rPr>
        <w:t>.</w:t>
      </w:r>
      <w:r w:rsidR="003648A9">
        <w:rPr>
          <w:rStyle w:val="Appelnotedebasdep"/>
          <w:rFonts w:ascii="Times New Roman" w:hAnsi="Times New Roman"/>
          <w:sz w:val="24"/>
          <w:szCs w:val="24"/>
          <w:lang w:val="en-US"/>
        </w:rPr>
        <w:footnoteReference w:id="11"/>
      </w:r>
      <w:r w:rsidR="00A96EF9">
        <w:rPr>
          <w:rFonts w:ascii="Times New Roman" w:hAnsi="Times New Roman"/>
          <w:sz w:val="24"/>
          <w:szCs w:val="24"/>
          <w:lang w:val="en-US"/>
        </w:rPr>
        <w:t xml:space="preserve"> The case that this sort of</w:t>
      </w:r>
      <w:r w:rsidR="00855376">
        <w:rPr>
          <w:rFonts w:ascii="Times New Roman" w:hAnsi="Times New Roman"/>
          <w:sz w:val="24"/>
          <w:szCs w:val="24"/>
          <w:lang w:val="en-US"/>
        </w:rPr>
        <w:t xml:space="preserve"> pessimism may limit the </w:t>
      </w:r>
      <w:r w:rsidR="00A96EF9">
        <w:rPr>
          <w:rFonts w:ascii="Times New Roman" w:hAnsi="Times New Roman"/>
          <w:sz w:val="24"/>
          <w:szCs w:val="24"/>
          <w:lang w:val="en-US"/>
        </w:rPr>
        <w:t>uptake of insurance</w:t>
      </w:r>
      <w:r w:rsidR="00855376">
        <w:rPr>
          <w:rFonts w:ascii="Times New Roman" w:hAnsi="Times New Roman"/>
          <w:sz w:val="24"/>
          <w:szCs w:val="24"/>
          <w:lang w:val="en-US"/>
        </w:rPr>
        <w:t xml:space="preserve"> is most persuasively made </w:t>
      </w:r>
      <w:r w:rsidR="00A96EF9">
        <w:rPr>
          <w:rFonts w:ascii="Times New Roman" w:hAnsi="Times New Roman"/>
          <w:sz w:val="24"/>
          <w:szCs w:val="24"/>
          <w:lang w:val="en-US"/>
        </w:rPr>
        <w:t xml:space="preserve">when ambiguity aversion is combined with compound lottery aversion </w:t>
      </w:r>
      <w:r w:rsidR="00562EBA">
        <w:rPr>
          <w:rFonts w:ascii="Times New Roman" w:hAnsi="Times New Roman"/>
          <w:sz w:val="24"/>
          <w:szCs w:val="24"/>
          <w:lang w:val="en-US"/>
        </w:rPr>
        <w:t>such as may easily happen with index</w:t>
      </w:r>
      <w:r w:rsidR="00A96EF9">
        <w:rPr>
          <w:rFonts w:ascii="Times New Roman" w:hAnsi="Times New Roman"/>
          <w:sz w:val="24"/>
          <w:szCs w:val="24"/>
          <w:lang w:val="en-US"/>
        </w:rPr>
        <w:t xml:space="preserve"> insurance</w:t>
      </w:r>
      <w:r w:rsidR="00A462E4">
        <w:rPr>
          <w:rFonts w:ascii="Times New Roman" w:hAnsi="Times New Roman"/>
          <w:sz w:val="24"/>
          <w:szCs w:val="24"/>
          <w:lang w:val="en-US"/>
        </w:rPr>
        <w:t xml:space="preserve"> (</w:t>
      </w:r>
      <w:r w:rsidR="00D31697" w:rsidRPr="00D31697">
        <w:rPr>
          <w:rFonts w:ascii="Times New Roman" w:hAnsi="Times New Roman"/>
          <w:sz w:val="24"/>
          <w:szCs w:val="24"/>
          <w:lang w:val="en-US"/>
        </w:rPr>
        <w:t>Elabed</w:t>
      </w:r>
      <w:r w:rsidR="00A462E4">
        <w:rPr>
          <w:rFonts w:ascii="Times New Roman" w:hAnsi="Times New Roman"/>
          <w:sz w:val="24"/>
          <w:szCs w:val="24"/>
          <w:lang w:val="en-US"/>
        </w:rPr>
        <w:t xml:space="preserve"> and Carter, 2013</w:t>
      </w:r>
      <w:r w:rsidR="00855376">
        <w:rPr>
          <w:rFonts w:ascii="Times New Roman" w:hAnsi="Times New Roman"/>
          <w:sz w:val="24"/>
          <w:szCs w:val="24"/>
          <w:lang w:val="en-US"/>
        </w:rPr>
        <w:t>).</w:t>
      </w:r>
      <w:r w:rsidR="00E93175">
        <w:rPr>
          <w:rFonts w:ascii="Times New Roman" w:hAnsi="Times New Roman"/>
          <w:sz w:val="24"/>
          <w:szCs w:val="24"/>
          <w:lang w:val="en-US"/>
        </w:rPr>
        <w:t xml:space="preserve"> R</w:t>
      </w:r>
      <w:r w:rsidR="00855376">
        <w:rPr>
          <w:rFonts w:ascii="Times New Roman" w:hAnsi="Times New Roman"/>
          <w:sz w:val="24"/>
          <w:szCs w:val="24"/>
          <w:lang w:val="en-US"/>
        </w:rPr>
        <w:t>eluctance to purchase the policy</w:t>
      </w:r>
      <w:r w:rsidR="00E93175">
        <w:rPr>
          <w:rFonts w:ascii="Times New Roman" w:hAnsi="Times New Roman"/>
          <w:sz w:val="24"/>
          <w:szCs w:val="24"/>
          <w:lang w:val="en-US"/>
        </w:rPr>
        <w:t xml:space="preserve"> then</w:t>
      </w:r>
      <w:r w:rsidR="00855376">
        <w:rPr>
          <w:rFonts w:ascii="Times New Roman" w:hAnsi="Times New Roman"/>
          <w:sz w:val="24"/>
          <w:szCs w:val="24"/>
          <w:lang w:val="en-US"/>
        </w:rPr>
        <w:t xml:space="preserve"> comes from farmers who give much weight to</w:t>
      </w:r>
      <w:r w:rsidR="00E93175">
        <w:rPr>
          <w:rFonts w:ascii="Times New Roman" w:hAnsi="Times New Roman"/>
          <w:sz w:val="24"/>
          <w:szCs w:val="24"/>
          <w:lang w:val="en-US"/>
        </w:rPr>
        <w:t xml:space="preserve"> the worst scenario, in which they</w:t>
      </w:r>
      <w:r w:rsidR="00855376">
        <w:rPr>
          <w:rFonts w:ascii="Times New Roman" w:hAnsi="Times New Roman"/>
          <w:sz w:val="24"/>
          <w:szCs w:val="24"/>
          <w:lang w:val="en-US"/>
        </w:rPr>
        <w:t xml:space="preserve"> </w:t>
      </w:r>
      <w:r w:rsidR="00E93175">
        <w:rPr>
          <w:rFonts w:ascii="Times New Roman" w:hAnsi="Times New Roman"/>
          <w:sz w:val="24"/>
          <w:szCs w:val="24"/>
          <w:lang w:val="en-US"/>
        </w:rPr>
        <w:t xml:space="preserve">have </w:t>
      </w:r>
      <w:r w:rsidR="00855376">
        <w:rPr>
          <w:rFonts w:ascii="Times New Roman" w:hAnsi="Times New Roman"/>
          <w:sz w:val="24"/>
          <w:szCs w:val="24"/>
          <w:lang w:val="en-US"/>
        </w:rPr>
        <w:t>a low individual output</w:t>
      </w:r>
      <w:r w:rsidR="00E93175">
        <w:rPr>
          <w:rFonts w:ascii="Times New Roman" w:hAnsi="Times New Roman"/>
          <w:sz w:val="24"/>
          <w:szCs w:val="24"/>
          <w:lang w:val="en-US"/>
        </w:rPr>
        <w:t xml:space="preserve"> while the</w:t>
      </w:r>
      <w:r w:rsidR="00855376">
        <w:rPr>
          <w:rFonts w:ascii="Times New Roman" w:hAnsi="Times New Roman"/>
          <w:sz w:val="24"/>
          <w:szCs w:val="24"/>
          <w:lang w:val="en-US"/>
        </w:rPr>
        <w:t xml:space="preserve"> average output (on the </w:t>
      </w:r>
      <w:r w:rsidR="00855376">
        <w:rPr>
          <w:rFonts w:ascii="Times New Roman" w:hAnsi="Times New Roman"/>
          <w:sz w:val="24"/>
          <w:szCs w:val="24"/>
          <w:lang w:val="en-US"/>
        </w:rPr>
        <w:lastRenderedPageBreak/>
        <w:t>basis of which the basis risk is computed</w:t>
      </w:r>
      <w:r w:rsidR="00E93175">
        <w:rPr>
          <w:rFonts w:ascii="Times New Roman" w:hAnsi="Times New Roman"/>
          <w:sz w:val="24"/>
          <w:szCs w:val="24"/>
          <w:lang w:val="en-US"/>
        </w:rPr>
        <w:t>)</w:t>
      </w:r>
      <w:r w:rsidR="00855376">
        <w:rPr>
          <w:rFonts w:ascii="Times New Roman" w:hAnsi="Times New Roman"/>
          <w:sz w:val="24"/>
          <w:szCs w:val="24"/>
          <w:lang w:val="en-US"/>
        </w:rPr>
        <w:t xml:space="preserve"> is sufficiently large to be above the indemnity threshold.</w:t>
      </w:r>
      <w:r w:rsidR="0059282C">
        <w:rPr>
          <w:rStyle w:val="Appelnotedebasdep"/>
          <w:rFonts w:ascii="Times New Roman" w:hAnsi="Times New Roman"/>
          <w:sz w:val="24"/>
          <w:szCs w:val="24"/>
          <w:lang w:val="en-US"/>
        </w:rPr>
        <w:footnoteReference w:id="12"/>
      </w:r>
    </w:p>
    <w:p w:rsidR="00745701" w:rsidRDefault="004207ED" w:rsidP="002E4B89">
      <w:pPr>
        <w:spacing w:line="360" w:lineRule="auto"/>
        <w:ind w:right="17" w:firstLine="426"/>
        <w:jc w:val="both"/>
        <w:rPr>
          <w:rFonts w:ascii="Times New Roman" w:hAnsi="Times New Roman"/>
          <w:sz w:val="24"/>
          <w:szCs w:val="24"/>
          <w:lang w:val="en-US"/>
        </w:rPr>
      </w:pPr>
      <w:r>
        <w:rPr>
          <w:rFonts w:ascii="Times New Roman" w:hAnsi="Times New Roman"/>
          <w:sz w:val="24"/>
          <w:szCs w:val="24"/>
          <w:lang w:val="en-US"/>
        </w:rPr>
        <w:t xml:space="preserve">More directly relevant to our concern in this paper is the </w:t>
      </w:r>
      <w:r w:rsidR="00B71B3E">
        <w:rPr>
          <w:rFonts w:ascii="Times New Roman" w:hAnsi="Times New Roman"/>
          <w:sz w:val="24"/>
          <w:szCs w:val="24"/>
          <w:lang w:val="en-US"/>
        </w:rPr>
        <w:t>theory</w:t>
      </w:r>
      <w:r w:rsidR="00C05321">
        <w:rPr>
          <w:rFonts w:ascii="Times New Roman" w:hAnsi="Times New Roman"/>
          <w:sz w:val="24"/>
          <w:szCs w:val="24"/>
          <w:lang w:val="en-US"/>
        </w:rPr>
        <w:t xml:space="preserve"> of (myopic)</w:t>
      </w:r>
      <w:r w:rsidR="00C05321" w:rsidRPr="00C05321">
        <w:rPr>
          <w:rFonts w:ascii="Times New Roman" w:hAnsi="Times New Roman"/>
          <w:sz w:val="24"/>
          <w:szCs w:val="24"/>
          <w:lang w:val="en-US"/>
        </w:rPr>
        <w:t xml:space="preserve"> </w:t>
      </w:r>
      <w:r w:rsidR="00C05321">
        <w:rPr>
          <w:rFonts w:ascii="Times New Roman" w:hAnsi="Times New Roman"/>
          <w:sz w:val="24"/>
          <w:szCs w:val="24"/>
          <w:lang w:val="en-US"/>
        </w:rPr>
        <w:t>loss aversion</w:t>
      </w:r>
      <w:r w:rsidR="00B71B3E">
        <w:rPr>
          <w:rFonts w:ascii="Times New Roman" w:hAnsi="Times New Roman"/>
          <w:sz w:val="24"/>
          <w:szCs w:val="24"/>
          <w:lang w:val="en-US"/>
        </w:rPr>
        <w:t>, which assumes that individuals experience more disutility from a loss than they experience utility from a gain of the same amount</w:t>
      </w:r>
      <w:r w:rsidR="00933868">
        <w:rPr>
          <w:rFonts w:ascii="Times New Roman" w:hAnsi="Times New Roman"/>
          <w:sz w:val="24"/>
          <w:szCs w:val="24"/>
          <w:lang w:val="en-US"/>
        </w:rPr>
        <w:t xml:space="preserve"> (the ‘value function’ component of prospect theory)</w:t>
      </w:r>
      <w:r>
        <w:rPr>
          <w:rFonts w:ascii="Times New Roman" w:hAnsi="Times New Roman"/>
          <w:sz w:val="24"/>
          <w:szCs w:val="24"/>
          <w:lang w:val="en-US"/>
        </w:rPr>
        <w:t xml:space="preserve"> </w:t>
      </w:r>
      <w:r w:rsidR="00C05321">
        <w:rPr>
          <w:rFonts w:ascii="Times New Roman" w:hAnsi="Times New Roman"/>
          <w:sz w:val="24"/>
          <w:szCs w:val="24"/>
          <w:lang w:val="en-US"/>
        </w:rPr>
        <w:t>(see Benartzi and Thaler, 1995)</w:t>
      </w:r>
      <w:r w:rsidR="009C5897">
        <w:rPr>
          <w:rFonts w:ascii="Times New Roman" w:hAnsi="Times New Roman"/>
          <w:sz w:val="24"/>
          <w:szCs w:val="24"/>
          <w:lang w:val="en-US"/>
        </w:rPr>
        <w:t>.</w:t>
      </w:r>
      <w:r w:rsidR="003648A9">
        <w:rPr>
          <w:rStyle w:val="Appelnotedebasdep"/>
          <w:rFonts w:ascii="Times New Roman" w:hAnsi="Times New Roman"/>
          <w:sz w:val="24"/>
          <w:szCs w:val="24"/>
          <w:lang w:val="en-US"/>
        </w:rPr>
        <w:footnoteReference w:id="13"/>
      </w:r>
      <w:r w:rsidR="009C5897">
        <w:rPr>
          <w:rFonts w:ascii="Times New Roman" w:hAnsi="Times New Roman"/>
          <w:sz w:val="24"/>
          <w:szCs w:val="24"/>
          <w:lang w:val="en-US"/>
        </w:rPr>
        <w:t xml:space="preserve"> </w:t>
      </w:r>
      <w:r w:rsidR="00921A28">
        <w:rPr>
          <w:rFonts w:ascii="Times New Roman" w:hAnsi="Times New Roman"/>
          <w:sz w:val="24"/>
          <w:szCs w:val="24"/>
          <w:lang w:val="en-US"/>
        </w:rPr>
        <w:t>Loss averse individuals thus dislike experiencing the cost of the accumulated insurance premiums and the additional out-of-pocket cost of the deductible. The theory</w:t>
      </w:r>
      <w:r w:rsidR="00B71B3E">
        <w:rPr>
          <w:rFonts w:ascii="Times New Roman" w:hAnsi="Times New Roman"/>
          <w:sz w:val="24"/>
          <w:szCs w:val="24"/>
          <w:lang w:val="en-US"/>
        </w:rPr>
        <w:t xml:space="preserve"> explain</w:t>
      </w:r>
      <w:r w:rsidR="00921A28">
        <w:rPr>
          <w:rFonts w:ascii="Times New Roman" w:hAnsi="Times New Roman"/>
          <w:sz w:val="24"/>
          <w:szCs w:val="24"/>
          <w:lang w:val="en-US"/>
        </w:rPr>
        <w:t>s</w:t>
      </w:r>
      <w:r w:rsidR="00B71B3E">
        <w:rPr>
          <w:rFonts w:ascii="Times New Roman" w:hAnsi="Times New Roman"/>
          <w:sz w:val="24"/>
          <w:szCs w:val="24"/>
          <w:lang w:val="en-US"/>
        </w:rPr>
        <w:t xml:space="preserve"> why subscribers who obtain an insurance payout are more likely to renew their contract than those who do not</w:t>
      </w:r>
      <w:r w:rsidR="00921A28">
        <w:rPr>
          <w:rFonts w:ascii="Times New Roman" w:hAnsi="Times New Roman"/>
          <w:sz w:val="24"/>
          <w:szCs w:val="24"/>
          <w:lang w:val="en-US"/>
        </w:rPr>
        <w:t>, since</w:t>
      </w:r>
      <w:r w:rsidR="00B71B3E">
        <w:rPr>
          <w:rFonts w:ascii="Times New Roman" w:hAnsi="Times New Roman"/>
          <w:sz w:val="24"/>
          <w:szCs w:val="24"/>
          <w:lang w:val="en-US"/>
        </w:rPr>
        <w:t xml:space="preserve"> they enjoy the feeling that a loss of a certain amou</w:t>
      </w:r>
      <w:r w:rsidR="00921A28">
        <w:rPr>
          <w:rFonts w:ascii="Times New Roman" w:hAnsi="Times New Roman"/>
          <w:sz w:val="24"/>
          <w:szCs w:val="24"/>
          <w:lang w:val="en-US"/>
        </w:rPr>
        <w:t>nt has been avoided, and</w:t>
      </w:r>
      <w:r w:rsidR="00B71B3E">
        <w:rPr>
          <w:rFonts w:ascii="Times New Roman" w:hAnsi="Times New Roman"/>
          <w:sz w:val="24"/>
          <w:szCs w:val="24"/>
          <w:lang w:val="en-US"/>
        </w:rPr>
        <w:t xml:space="preserve"> the payment of the premium </w:t>
      </w:r>
      <w:r w:rsidR="00921A28">
        <w:rPr>
          <w:rFonts w:ascii="Times New Roman" w:hAnsi="Times New Roman"/>
          <w:sz w:val="24"/>
          <w:szCs w:val="24"/>
          <w:lang w:val="en-US"/>
        </w:rPr>
        <w:t xml:space="preserve">is therefore </w:t>
      </w:r>
      <w:r w:rsidR="00B71B3E">
        <w:rPr>
          <w:rFonts w:ascii="Times New Roman" w:hAnsi="Times New Roman"/>
          <w:sz w:val="24"/>
          <w:szCs w:val="24"/>
          <w:lang w:val="en-US"/>
        </w:rPr>
        <w:t xml:space="preserve">less painful. </w:t>
      </w:r>
      <w:r w:rsidR="009C5897">
        <w:rPr>
          <w:rFonts w:ascii="Times New Roman" w:hAnsi="Times New Roman"/>
          <w:sz w:val="24"/>
          <w:szCs w:val="24"/>
          <w:lang w:val="en-US"/>
        </w:rPr>
        <w:t>However,</w:t>
      </w:r>
      <w:r w:rsidR="00932385">
        <w:rPr>
          <w:rFonts w:ascii="Times New Roman" w:hAnsi="Times New Roman"/>
          <w:sz w:val="24"/>
          <w:szCs w:val="24"/>
          <w:lang w:val="en-US"/>
        </w:rPr>
        <w:t xml:space="preserve"> if</w:t>
      </w:r>
      <w:r w:rsidR="00921A28">
        <w:rPr>
          <w:rFonts w:ascii="Times New Roman" w:hAnsi="Times New Roman"/>
          <w:sz w:val="24"/>
          <w:szCs w:val="24"/>
          <w:lang w:val="en-US"/>
        </w:rPr>
        <w:t xml:space="preserve"> it</w:t>
      </w:r>
      <w:r w:rsidR="00444210">
        <w:rPr>
          <w:rFonts w:ascii="Times New Roman" w:hAnsi="Times New Roman"/>
          <w:sz w:val="24"/>
          <w:szCs w:val="24"/>
          <w:lang w:val="en-US"/>
        </w:rPr>
        <w:t xml:space="preserve"> may</w:t>
      </w:r>
      <w:r w:rsidR="00E16728">
        <w:rPr>
          <w:rFonts w:ascii="Times New Roman" w:hAnsi="Times New Roman"/>
          <w:sz w:val="24"/>
          <w:szCs w:val="24"/>
          <w:lang w:val="en-US"/>
        </w:rPr>
        <w:t xml:space="preserve"> explain why an individual</w:t>
      </w:r>
      <w:r w:rsidR="00932385">
        <w:rPr>
          <w:rFonts w:ascii="Times New Roman" w:hAnsi="Times New Roman"/>
          <w:sz w:val="24"/>
          <w:szCs w:val="24"/>
          <w:lang w:val="en-US"/>
        </w:rPr>
        <w:t xml:space="preserve"> wh</w:t>
      </w:r>
      <w:r w:rsidR="00E7278C">
        <w:rPr>
          <w:rFonts w:ascii="Times New Roman" w:hAnsi="Times New Roman"/>
          <w:sz w:val="24"/>
          <w:szCs w:val="24"/>
          <w:lang w:val="en-US"/>
        </w:rPr>
        <w:t>o did not collect on the insurance policy</w:t>
      </w:r>
      <w:r w:rsidR="00932385">
        <w:rPr>
          <w:rFonts w:ascii="Times New Roman" w:hAnsi="Times New Roman"/>
          <w:sz w:val="24"/>
          <w:szCs w:val="24"/>
          <w:lang w:val="en-US"/>
        </w:rPr>
        <w:t xml:space="preserve"> is reluctant to renew t</w:t>
      </w:r>
      <w:r w:rsidR="00E16728">
        <w:rPr>
          <w:rFonts w:ascii="Times New Roman" w:hAnsi="Times New Roman"/>
          <w:sz w:val="24"/>
          <w:szCs w:val="24"/>
          <w:lang w:val="en-US"/>
        </w:rPr>
        <w:t>he contract, and would like to have the premium returned, it is</w:t>
      </w:r>
      <w:r w:rsidR="00932385">
        <w:rPr>
          <w:rFonts w:ascii="Times New Roman" w:hAnsi="Times New Roman"/>
          <w:sz w:val="24"/>
          <w:szCs w:val="24"/>
          <w:lang w:val="en-US"/>
        </w:rPr>
        <w:t xml:space="preserve"> less</w:t>
      </w:r>
      <w:r w:rsidR="00E16728">
        <w:rPr>
          <w:rFonts w:ascii="Times New Roman" w:hAnsi="Times New Roman"/>
          <w:sz w:val="24"/>
          <w:szCs w:val="24"/>
          <w:lang w:val="en-US"/>
        </w:rPr>
        <w:t xml:space="preserve"> clear</w:t>
      </w:r>
      <w:r w:rsidR="00932385">
        <w:rPr>
          <w:rFonts w:ascii="Times New Roman" w:hAnsi="Times New Roman"/>
          <w:sz w:val="24"/>
          <w:szCs w:val="24"/>
          <w:lang w:val="en-US"/>
        </w:rPr>
        <w:t xml:space="preserve"> why other mem</w:t>
      </w:r>
      <w:r w:rsidR="0059282C">
        <w:rPr>
          <w:rFonts w:ascii="Times New Roman" w:hAnsi="Times New Roman"/>
          <w:sz w:val="24"/>
          <w:szCs w:val="24"/>
          <w:lang w:val="en-US"/>
        </w:rPr>
        <w:t>bers of the risk-pooling group sh</w:t>
      </w:r>
      <w:r w:rsidR="00932385">
        <w:rPr>
          <w:rFonts w:ascii="Times New Roman" w:hAnsi="Times New Roman"/>
          <w:sz w:val="24"/>
          <w:szCs w:val="24"/>
          <w:lang w:val="en-US"/>
        </w:rPr>
        <w:t>ould comply with such a request.</w:t>
      </w:r>
      <w:r w:rsidR="000D6710">
        <w:rPr>
          <w:rFonts w:ascii="Times New Roman" w:hAnsi="Times New Roman"/>
          <w:sz w:val="24"/>
          <w:szCs w:val="24"/>
          <w:lang w:val="en-US"/>
        </w:rPr>
        <w:t xml:space="preserve"> </w:t>
      </w:r>
    </w:p>
    <w:p w:rsidR="00F5295B" w:rsidRDefault="00F5295B" w:rsidP="002E4B89">
      <w:pPr>
        <w:spacing w:line="360" w:lineRule="auto"/>
        <w:ind w:right="17" w:firstLine="426"/>
        <w:jc w:val="both"/>
        <w:rPr>
          <w:rFonts w:ascii="Times New Roman" w:hAnsi="Times New Roman"/>
          <w:sz w:val="24"/>
          <w:szCs w:val="24"/>
          <w:lang w:val="en-US"/>
        </w:rPr>
      </w:pPr>
      <w:r>
        <w:rPr>
          <w:rFonts w:ascii="Times New Roman" w:hAnsi="Times New Roman"/>
          <w:sz w:val="24"/>
          <w:szCs w:val="24"/>
          <w:lang w:val="en-US"/>
        </w:rPr>
        <w:t xml:space="preserve">An interesting implication of the </w:t>
      </w:r>
      <w:r w:rsidR="00B20181">
        <w:rPr>
          <w:rFonts w:ascii="Times New Roman" w:hAnsi="Times New Roman"/>
          <w:sz w:val="24"/>
          <w:szCs w:val="24"/>
          <w:lang w:val="en-US"/>
        </w:rPr>
        <w:t>loss aversion theory</w:t>
      </w:r>
      <w:r w:rsidR="00921A28">
        <w:rPr>
          <w:rFonts w:ascii="Times New Roman" w:hAnsi="Times New Roman"/>
          <w:sz w:val="24"/>
          <w:szCs w:val="24"/>
          <w:lang w:val="en-US"/>
        </w:rPr>
        <w:t xml:space="preserve"> is that an</w:t>
      </w:r>
      <w:r>
        <w:rPr>
          <w:rFonts w:ascii="Times New Roman" w:hAnsi="Times New Roman"/>
          <w:sz w:val="24"/>
          <w:szCs w:val="24"/>
          <w:lang w:val="en-US"/>
        </w:rPr>
        <w:t xml:space="preserve"> insurance contract </w:t>
      </w:r>
      <w:r w:rsidR="00921A28">
        <w:rPr>
          <w:rFonts w:ascii="Times New Roman" w:hAnsi="Times New Roman"/>
          <w:sz w:val="24"/>
          <w:szCs w:val="24"/>
          <w:lang w:val="en-US"/>
        </w:rPr>
        <w:t>that offers low deductibles</w:t>
      </w:r>
      <w:r w:rsidR="00921A28" w:rsidRPr="00CA513A">
        <w:rPr>
          <w:rFonts w:ascii="Times New Roman" w:hAnsi="Times New Roman"/>
          <w:sz w:val="24"/>
          <w:szCs w:val="24"/>
          <w:lang w:val="en-US"/>
        </w:rPr>
        <w:t xml:space="preserve"> </w:t>
      </w:r>
      <w:r w:rsidR="00921A28">
        <w:rPr>
          <w:rFonts w:ascii="Times New Roman" w:hAnsi="Times New Roman"/>
          <w:sz w:val="24"/>
          <w:szCs w:val="24"/>
          <w:lang w:val="en-US"/>
        </w:rPr>
        <w:t xml:space="preserve">and rebates if one does not suffer a loss </w:t>
      </w:r>
      <w:r>
        <w:rPr>
          <w:rFonts w:ascii="Times New Roman" w:hAnsi="Times New Roman"/>
          <w:sz w:val="24"/>
          <w:szCs w:val="24"/>
          <w:lang w:val="en-US"/>
        </w:rPr>
        <w:t>would be more at</w:t>
      </w:r>
      <w:r w:rsidR="00921A28">
        <w:rPr>
          <w:rFonts w:ascii="Times New Roman" w:hAnsi="Times New Roman"/>
          <w:sz w:val="24"/>
          <w:szCs w:val="24"/>
          <w:lang w:val="en-US"/>
        </w:rPr>
        <w:t xml:space="preserve">tractive to loss-averse people, </w:t>
      </w:r>
      <w:r>
        <w:rPr>
          <w:rFonts w:ascii="Times New Roman" w:hAnsi="Times New Roman"/>
          <w:sz w:val="24"/>
          <w:szCs w:val="24"/>
          <w:lang w:val="en-US"/>
        </w:rPr>
        <w:t>yet les</w:t>
      </w:r>
      <w:r w:rsidR="00921A28">
        <w:rPr>
          <w:rFonts w:ascii="Times New Roman" w:hAnsi="Times New Roman"/>
          <w:sz w:val="24"/>
          <w:szCs w:val="24"/>
          <w:lang w:val="en-US"/>
        </w:rPr>
        <w:t>s profitable in financial terms</w:t>
      </w:r>
      <w:r>
        <w:rPr>
          <w:rFonts w:ascii="Times New Roman" w:hAnsi="Times New Roman"/>
          <w:sz w:val="24"/>
          <w:szCs w:val="24"/>
          <w:lang w:val="en-US"/>
        </w:rPr>
        <w:t xml:space="preserve">. </w:t>
      </w:r>
      <w:r w:rsidR="00921A28">
        <w:rPr>
          <w:rFonts w:ascii="Times New Roman" w:hAnsi="Times New Roman"/>
          <w:sz w:val="24"/>
          <w:szCs w:val="24"/>
          <w:lang w:val="en-US"/>
        </w:rPr>
        <w:t>As a matter of fact, w</w:t>
      </w:r>
      <w:r w:rsidR="00B20181">
        <w:rPr>
          <w:rFonts w:ascii="Times New Roman" w:hAnsi="Times New Roman"/>
          <w:sz w:val="24"/>
          <w:szCs w:val="24"/>
          <w:lang w:val="en-US"/>
        </w:rPr>
        <w:t>ith the value function assumed in prospect theory, t</w:t>
      </w:r>
      <w:r w:rsidR="00BA4EFB">
        <w:rPr>
          <w:rFonts w:ascii="Times New Roman" w:hAnsi="Times New Roman"/>
          <w:sz w:val="24"/>
          <w:szCs w:val="24"/>
          <w:lang w:val="en-US"/>
        </w:rPr>
        <w:t xml:space="preserve">he negative value of the additional premium caused by eliminating the deductible is very small relative to the very large reduction in negative value caused by reducing the deductible to zero. </w:t>
      </w:r>
      <w:r w:rsidR="00CE0145">
        <w:rPr>
          <w:rFonts w:ascii="Times New Roman" w:hAnsi="Times New Roman"/>
          <w:sz w:val="24"/>
          <w:szCs w:val="24"/>
          <w:lang w:val="en-US"/>
        </w:rPr>
        <w:t>An even better contract</w:t>
      </w:r>
      <w:r w:rsidR="00CF71B4">
        <w:rPr>
          <w:rFonts w:ascii="Times New Roman" w:hAnsi="Times New Roman"/>
          <w:sz w:val="24"/>
          <w:szCs w:val="24"/>
          <w:lang w:val="en-US"/>
        </w:rPr>
        <w:t xml:space="preserve"> for an insurer</w:t>
      </w:r>
      <w:r w:rsidR="00CE0145">
        <w:rPr>
          <w:rFonts w:ascii="Times New Roman" w:hAnsi="Times New Roman"/>
          <w:sz w:val="24"/>
          <w:szCs w:val="24"/>
          <w:lang w:val="en-US"/>
        </w:rPr>
        <w:t xml:space="preserve"> </w:t>
      </w:r>
      <w:r w:rsidR="00921A28">
        <w:rPr>
          <w:rFonts w:ascii="Times New Roman" w:hAnsi="Times New Roman"/>
          <w:sz w:val="24"/>
          <w:szCs w:val="24"/>
          <w:lang w:val="en-US"/>
        </w:rPr>
        <w:t xml:space="preserve">is to </w:t>
      </w:r>
      <w:r w:rsidR="00CE0145">
        <w:rPr>
          <w:rFonts w:ascii="Times New Roman" w:hAnsi="Times New Roman"/>
          <w:sz w:val="24"/>
          <w:szCs w:val="24"/>
          <w:lang w:val="en-US"/>
        </w:rPr>
        <w:t>offer</w:t>
      </w:r>
      <w:r w:rsidR="00BA4EFB">
        <w:rPr>
          <w:rFonts w:ascii="Times New Roman" w:hAnsi="Times New Roman"/>
          <w:sz w:val="24"/>
          <w:szCs w:val="24"/>
          <w:lang w:val="en-US"/>
        </w:rPr>
        <w:t xml:space="preserve"> a rebate from wh</w:t>
      </w:r>
      <w:r w:rsidR="00CE0145">
        <w:rPr>
          <w:rFonts w:ascii="Times New Roman" w:hAnsi="Times New Roman"/>
          <w:sz w:val="24"/>
          <w:szCs w:val="24"/>
          <w:lang w:val="en-US"/>
        </w:rPr>
        <w:t>ich claims are deducted</w:t>
      </w:r>
      <w:r w:rsidR="00BA4EFB">
        <w:rPr>
          <w:rFonts w:ascii="Times New Roman" w:hAnsi="Times New Roman"/>
          <w:sz w:val="24"/>
          <w:szCs w:val="24"/>
          <w:lang w:val="en-US"/>
        </w:rPr>
        <w:t xml:space="preserve"> rather than a deductible</w:t>
      </w:r>
      <w:r w:rsidR="00CE0145">
        <w:rPr>
          <w:rFonts w:ascii="Times New Roman" w:hAnsi="Times New Roman"/>
          <w:sz w:val="24"/>
          <w:szCs w:val="24"/>
          <w:lang w:val="en-US"/>
        </w:rPr>
        <w:t>, since this would encourage</w:t>
      </w:r>
      <w:r w:rsidR="00921A28">
        <w:rPr>
          <w:rFonts w:ascii="Times New Roman" w:hAnsi="Times New Roman"/>
          <w:sz w:val="24"/>
          <w:szCs w:val="24"/>
          <w:lang w:val="en-US"/>
        </w:rPr>
        <w:t xml:space="preserve"> insured</w:t>
      </w:r>
      <w:r w:rsidR="00CE0145">
        <w:rPr>
          <w:rFonts w:ascii="Times New Roman" w:hAnsi="Times New Roman"/>
          <w:sz w:val="24"/>
          <w:szCs w:val="24"/>
          <w:lang w:val="en-US"/>
        </w:rPr>
        <w:t xml:space="preserve"> individuals to avoid making claims</w:t>
      </w:r>
      <w:r w:rsidR="00921A28">
        <w:rPr>
          <w:rFonts w:ascii="Times New Roman" w:hAnsi="Times New Roman"/>
          <w:sz w:val="24"/>
          <w:szCs w:val="24"/>
          <w:lang w:val="en-US"/>
        </w:rPr>
        <w:t>. I</w:t>
      </w:r>
      <w:r w:rsidR="00B207D6">
        <w:rPr>
          <w:rFonts w:ascii="Times New Roman" w:hAnsi="Times New Roman"/>
          <w:sz w:val="24"/>
          <w:szCs w:val="24"/>
          <w:lang w:val="en-US"/>
        </w:rPr>
        <w:t>nsurance with a rebate should be more attractive than an equivalent but less expensive</w:t>
      </w:r>
      <w:r w:rsidR="00921A28">
        <w:rPr>
          <w:rFonts w:ascii="Times New Roman" w:hAnsi="Times New Roman"/>
          <w:sz w:val="24"/>
          <w:szCs w:val="24"/>
          <w:lang w:val="en-US"/>
        </w:rPr>
        <w:t xml:space="preserve"> policy with a deductible</w:t>
      </w:r>
      <w:r w:rsidR="00E27408">
        <w:rPr>
          <w:rFonts w:ascii="Times New Roman" w:hAnsi="Times New Roman"/>
          <w:sz w:val="24"/>
          <w:szCs w:val="24"/>
          <w:lang w:val="en-US"/>
        </w:rPr>
        <w:t xml:space="preserve"> because</w:t>
      </w:r>
      <w:r w:rsidR="00B207D6">
        <w:rPr>
          <w:rFonts w:ascii="Times New Roman" w:hAnsi="Times New Roman"/>
          <w:sz w:val="24"/>
          <w:szCs w:val="24"/>
          <w:lang w:val="en-US"/>
        </w:rPr>
        <w:t xml:space="preserve"> the negative value of the deductible is perceived as much greater than t</w:t>
      </w:r>
      <w:r w:rsidR="00E27408">
        <w:rPr>
          <w:rFonts w:ascii="Times New Roman" w:hAnsi="Times New Roman"/>
          <w:sz w:val="24"/>
          <w:szCs w:val="24"/>
          <w:lang w:val="en-US"/>
        </w:rPr>
        <w:t>he positive value of the rebate, or the perceived benefits of the rebate exceed the perceived cost of the extra premium that lowers the deductible to zero</w:t>
      </w:r>
      <w:r w:rsidR="00BA4EFB">
        <w:rPr>
          <w:rFonts w:ascii="Times New Roman" w:hAnsi="Times New Roman"/>
          <w:sz w:val="24"/>
          <w:szCs w:val="24"/>
          <w:lang w:val="en-US"/>
        </w:rPr>
        <w:t xml:space="preserve"> (Kunreuther et al., 2013:</w:t>
      </w:r>
      <w:r w:rsidR="00CE0145">
        <w:rPr>
          <w:rFonts w:ascii="Times New Roman" w:hAnsi="Times New Roman"/>
          <w:sz w:val="24"/>
          <w:szCs w:val="24"/>
          <w:lang w:val="en-US"/>
        </w:rPr>
        <w:t xml:space="preserve"> 100</w:t>
      </w:r>
      <w:r w:rsidR="00E27408">
        <w:rPr>
          <w:rFonts w:ascii="Times New Roman" w:hAnsi="Times New Roman"/>
          <w:sz w:val="24"/>
          <w:szCs w:val="24"/>
          <w:lang w:val="en-US"/>
        </w:rPr>
        <w:t>, 119</w:t>
      </w:r>
      <w:r w:rsidR="00CE0145">
        <w:rPr>
          <w:rFonts w:ascii="Times New Roman" w:hAnsi="Times New Roman"/>
          <w:sz w:val="24"/>
          <w:szCs w:val="24"/>
          <w:lang w:val="en-US"/>
        </w:rPr>
        <w:t xml:space="preserve">). </w:t>
      </w:r>
      <w:r w:rsidR="00921A28">
        <w:rPr>
          <w:rFonts w:ascii="Times New Roman" w:hAnsi="Times New Roman"/>
          <w:sz w:val="24"/>
          <w:szCs w:val="24"/>
          <w:lang w:val="en-US"/>
        </w:rPr>
        <w:t>Controlled experiments actually</w:t>
      </w:r>
      <w:r w:rsidR="00E27408">
        <w:rPr>
          <w:rFonts w:ascii="Times New Roman" w:hAnsi="Times New Roman"/>
          <w:sz w:val="24"/>
          <w:szCs w:val="24"/>
          <w:lang w:val="en-US"/>
        </w:rPr>
        <w:t xml:space="preserve"> </w:t>
      </w:r>
      <w:r w:rsidR="00E27408">
        <w:rPr>
          <w:rFonts w:ascii="Times New Roman" w:hAnsi="Times New Roman"/>
          <w:sz w:val="24"/>
          <w:szCs w:val="24"/>
          <w:lang w:val="en-US"/>
        </w:rPr>
        <w:lastRenderedPageBreak/>
        <w:t>suggest that individuals prefer policies with rebates even if the value of such a policy is lower than one in which there is no cash return at the end of the period covered (Johnson et al., 1993).</w:t>
      </w:r>
      <w:r w:rsidR="00511EAE">
        <w:rPr>
          <w:rStyle w:val="Appelnotedebasdep"/>
          <w:rFonts w:ascii="Times New Roman" w:hAnsi="Times New Roman"/>
          <w:sz w:val="24"/>
          <w:szCs w:val="24"/>
          <w:lang w:val="en-US"/>
        </w:rPr>
        <w:footnoteReference w:id="14"/>
      </w:r>
    </w:p>
    <w:p w:rsidR="0097621E" w:rsidRDefault="00670148" w:rsidP="0097621E">
      <w:pPr>
        <w:spacing w:line="360" w:lineRule="auto"/>
        <w:ind w:right="17" w:firstLine="426"/>
        <w:jc w:val="both"/>
        <w:rPr>
          <w:rFonts w:ascii="Times New Roman" w:hAnsi="Times New Roman"/>
          <w:sz w:val="24"/>
          <w:szCs w:val="24"/>
          <w:lang w:val="en-US"/>
        </w:rPr>
      </w:pPr>
      <w:r>
        <w:rPr>
          <w:rFonts w:ascii="Times New Roman" w:hAnsi="Times New Roman"/>
          <w:sz w:val="24"/>
          <w:szCs w:val="24"/>
          <w:lang w:val="en-US"/>
        </w:rPr>
        <w:t>A major lesson from the above discussion is that most explanations for behavior anomalies regarding insurance decisions, whether to purchase a policy or to renew the contract, assume</w:t>
      </w:r>
      <w:r w:rsidRPr="00670148">
        <w:rPr>
          <w:rFonts w:ascii="Times New Roman" w:hAnsi="Times New Roman"/>
          <w:sz w:val="24"/>
          <w:szCs w:val="24"/>
          <w:lang w:val="en-US"/>
        </w:rPr>
        <w:t xml:space="preserve"> a specific type of narrow framing</w:t>
      </w:r>
      <w:r w:rsidR="00863198">
        <w:rPr>
          <w:rFonts w:ascii="Times New Roman" w:hAnsi="Times New Roman"/>
          <w:sz w:val="24"/>
          <w:szCs w:val="24"/>
          <w:lang w:val="en-US"/>
        </w:rPr>
        <w:t xml:space="preserve"> or myopia. This is </w:t>
      </w:r>
      <w:r w:rsidR="0097621E">
        <w:rPr>
          <w:rFonts w:ascii="Times New Roman" w:hAnsi="Times New Roman"/>
          <w:sz w:val="24"/>
          <w:szCs w:val="24"/>
          <w:lang w:val="en-US"/>
        </w:rPr>
        <w:t>also</w:t>
      </w:r>
      <w:r w:rsidR="00863198">
        <w:rPr>
          <w:rFonts w:ascii="Times New Roman" w:hAnsi="Times New Roman"/>
          <w:sz w:val="24"/>
          <w:szCs w:val="24"/>
          <w:lang w:val="en-US"/>
        </w:rPr>
        <w:t xml:space="preserve"> true of </w:t>
      </w:r>
      <w:r w:rsidRPr="00670148">
        <w:rPr>
          <w:rFonts w:ascii="Times New Roman" w:hAnsi="Times New Roman"/>
          <w:sz w:val="24"/>
          <w:szCs w:val="24"/>
          <w:lang w:val="en-US"/>
        </w:rPr>
        <w:t>the cognitive bias that underpins the view of insurance as credit</w:t>
      </w:r>
      <w:r w:rsidR="00863198">
        <w:rPr>
          <w:rFonts w:ascii="Times New Roman" w:hAnsi="Times New Roman"/>
          <w:sz w:val="24"/>
          <w:szCs w:val="24"/>
          <w:lang w:val="en-US"/>
        </w:rPr>
        <w:t xml:space="preserve"> or investment</w:t>
      </w:r>
      <w:r w:rsidRPr="00670148">
        <w:rPr>
          <w:rFonts w:ascii="Times New Roman" w:hAnsi="Times New Roman"/>
          <w:sz w:val="24"/>
          <w:szCs w:val="24"/>
          <w:lang w:val="en-US"/>
        </w:rPr>
        <w:t>.</w:t>
      </w:r>
    </w:p>
    <w:p w:rsidR="000864BE" w:rsidRPr="0097621E" w:rsidRDefault="00230BD6" w:rsidP="0097621E">
      <w:pPr>
        <w:spacing w:line="360" w:lineRule="auto"/>
        <w:ind w:right="17" w:firstLine="425"/>
        <w:jc w:val="both"/>
        <w:rPr>
          <w:rFonts w:ascii="Times New Roman" w:hAnsi="Times New Roman"/>
          <w:sz w:val="24"/>
          <w:szCs w:val="24"/>
          <w:lang w:val="en-US"/>
        </w:rPr>
      </w:pPr>
      <w:r w:rsidRPr="00230BD6">
        <w:rPr>
          <w:rFonts w:ascii="Times New Roman" w:hAnsi="Times New Roman"/>
          <w:b/>
          <w:i/>
          <w:sz w:val="24"/>
          <w:szCs w:val="24"/>
          <w:lang w:val="en-US"/>
        </w:rPr>
        <w:t>3.2</w:t>
      </w:r>
      <w:r w:rsidRPr="00230BD6">
        <w:rPr>
          <w:rFonts w:ascii="Times New Roman" w:hAnsi="Times New Roman"/>
          <w:b/>
          <w:i/>
          <w:sz w:val="24"/>
          <w:szCs w:val="24"/>
          <w:lang w:val="en-US"/>
        </w:rPr>
        <w:tab/>
      </w:r>
      <w:r w:rsidR="000864BE" w:rsidRPr="00230BD6">
        <w:rPr>
          <w:rFonts w:ascii="Times New Roman" w:hAnsi="Times New Roman"/>
          <w:b/>
          <w:i/>
          <w:sz w:val="24"/>
          <w:szCs w:val="24"/>
          <w:lang w:val="en-US"/>
        </w:rPr>
        <w:t>Measures of key independent variables</w:t>
      </w:r>
    </w:p>
    <w:p w:rsidR="00B71B3E" w:rsidRDefault="00B71B3E" w:rsidP="0097621E">
      <w:pPr>
        <w:spacing w:after="240" w:line="360" w:lineRule="auto"/>
        <w:ind w:firstLine="425"/>
        <w:jc w:val="both"/>
        <w:rPr>
          <w:rFonts w:ascii="Times New Roman" w:hAnsi="Times New Roman"/>
          <w:sz w:val="24"/>
          <w:szCs w:val="24"/>
          <w:lang w:val="en-US"/>
        </w:rPr>
      </w:pPr>
      <w:r>
        <w:rPr>
          <w:rFonts w:ascii="Times New Roman" w:hAnsi="Times New Roman"/>
          <w:sz w:val="24"/>
          <w:szCs w:val="24"/>
          <w:lang w:val="en-US"/>
        </w:rPr>
        <w:t>In the light of the above discussion, we have gained a precise sense in which the concept of insurance can be deemed to be misunderstood.</w:t>
      </w:r>
      <w:r w:rsidR="00992121">
        <w:rPr>
          <w:rFonts w:ascii="Times New Roman" w:hAnsi="Times New Roman"/>
          <w:sz w:val="24"/>
          <w:szCs w:val="24"/>
          <w:lang w:val="en-US"/>
        </w:rPr>
        <w:t xml:space="preserve"> </w:t>
      </w:r>
      <w:r>
        <w:rPr>
          <w:rFonts w:ascii="Times New Roman" w:hAnsi="Times New Roman"/>
          <w:sz w:val="24"/>
          <w:szCs w:val="24"/>
          <w:lang w:val="en-US"/>
        </w:rPr>
        <w:t>The three following questions, in particular, seem to be</w:t>
      </w:r>
      <w:r w:rsidR="0085763F">
        <w:rPr>
          <w:rFonts w:ascii="Times New Roman" w:hAnsi="Times New Roman"/>
          <w:sz w:val="24"/>
          <w:szCs w:val="24"/>
          <w:lang w:val="en-US"/>
        </w:rPr>
        <w:t xml:space="preserve"> well-designed to gauge</w:t>
      </w:r>
      <w:r w:rsidR="00992121">
        <w:rPr>
          <w:rFonts w:ascii="Times New Roman" w:hAnsi="Times New Roman"/>
          <w:sz w:val="24"/>
          <w:szCs w:val="24"/>
          <w:lang w:val="en-US"/>
        </w:rPr>
        <w:t xml:space="preserve"> people’s understanding of</w:t>
      </w:r>
      <w:r>
        <w:rPr>
          <w:rFonts w:ascii="Times New Roman" w:hAnsi="Times New Roman"/>
          <w:sz w:val="24"/>
          <w:szCs w:val="24"/>
          <w:lang w:val="en-US"/>
        </w:rPr>
        <w:t xml:space="preserve"> insuran</w:t>
      </w:r>
      <w:r w:rsidR="00992121">
        <w:rPr>
          <w:rFonts w:ascii="Times New Roman" w:hAnsi="Times New Roman"/>
          <w:sz w:val="24"/>
          <w:szCs w:val="24"/>
          <w:lang w:val="en-US"/>
        </w:rPr>
        <w:t>ce principles</w:t>
      </w:r>
      <w:r>
        <w:rPr>
          <w:rFonts w:ascii="Times New Roman" w:hAnsi="Times New Roman"/>
          <w:sz w:val="24"/>
          <w:szCs w:val="24"/>
          <w:lang w:val="en-US"/>
        </w:rPr>
        <w:t xml:space="preserve">: </w:t>
      </w:r>
    </w:p>
    <w:p w:rsidR="00B71B3E" w:rsidRPr="00513B89" w:rsidRDefault="00B71B3E" w:rsidP="00B71B3E">
      <w:pPr>
        <w:numPr>
          <w:ilvl w:val="0"/>
          <w:numId w:val="6"/>
        </w:numPr>
        <w:spacing w:after="240" w:line="240" w:lineRule="auto"/>
        <w:ind w:left="782" w:hanging="357"/>
        <w:jc w:val="both"/>
        <w:rPr>
          <w:rFonts w:ascii="Times New Roman" w:hAnsi="Times New Roman"/>
          <w:sz w:val="24"/>
          <w:szCs w:val="24"/>
          <w:lang w:val="en-US"/>
        </w:rPr>
      </w:pPr>
      <w:r w:rsidRPr="00513B89">
        <w:rPr>
          <w:rFonts w:ascii="Times New Roman" w:hAnsi="Times New Roman"/>
          <w:sz w:val="24"/>
          <w:szCs w:val="24"/>
          <w:lang w:val="en-US"/>
        </w:rPr>
        <w:t xml:space="preserve"> If the discounts obtained turn out to be smaller than the premium paid, should the insurer r</w:t>
      </w:r>
      <w:r>
        <w:rPr>
          <w:rFonts w:ascii="Times New Roman" w:hAnsi="Times New Roman"/>
          <w:sz w:val="24"/>
          <w:szCs w:val="24"/>
          <w:lang w:val="en-US"/>
        </w:rPr>
        <w:t>eimburse</w:t>
      </w:r>
      <w:r w:rsidR="00A74235">
        <w:rPr>
          <w:rFonts w:ascii="Times New Roman" w:hAnsi="Times New Roman"/>
          <w:sz w:val="24"/>
          <w:szCs w:val="24"/>
          <w:lang w:val="en-US"/>
        </w:rPr>
        <w:t xml:space="preserve"> (part of)</w:t>
      </w:r>
      <w:r>
        <w:rPr>
          <w:rFonts w:ascii="Times New Roman" w:hAnsi="Times New Roman"/>
          <w:sz w:val="24"/>
          <w:szCs w:val="24"/>
          <w:lang w:val="en-US"/>
        </w:rPr>
        <w:t xml:space="preserve"> the premium?</w:t>
      </w:r>
    </w:p>
    <w:p w:rsidR="00B71B3E" w:rsidRPr="00513B89" w:rsidRDefault="00B71B3E" w:rsidP="00B71B3E">
      <w:pPr>
        <w:numPr>
          <w:ilvl w:val="0"/>
          <w:numId w:val="6"/>
        </w:numPr>
        <w:spacing w:after="240" w:line="240" w:lineRule="auto"/>
        <w:ind w:left="782" w:hanging="357"/>
        <w:jc w:val="both"/>
        <w:rPr>
          <w:rFonts w:ascii="Times New Roman" w:hAnsi="Times New Roman"/>
          <w:sz w:val="24"/>
          <w:szCs w:val="24"/>
          <w:lang w:val="en-US"/>
        </w:rPr>
      </w:pPr>
      <w:r>
        <w:rPr>
          <w:rFonts w:ascii="Times New Roman" w:hAnsi="Times New Roman"/>
          <w:sz w:val="24"/>
          <w:szCs w:val="24"/>
          <w:lang w:val="en-US"/>
        </w:rPr>
        <w:tab/>
      </w:r>
      <w:r w:rsidRPr="00513B89">
        <w:rPr>
          <w:rFonts w:ascii="Times New Roman" w:hAnsi="Times New Roman"/>
          <w:sz w:val="24"/>
          <w:szCs w:val="24"/>
          <w:lang w:val="en-US"/>
        </w:rPr>
        <w:t>Is it unfair that everybody pays the same premium whether</w:t>
      </w:r>
      <w:r>
        <w:rPr>
          <w:rFonts w:ascii="Times New Roman" w:hAnsi="Times New Roman"/>
          <w:sz w:val="24"/>
          <w:szCs w:val="24"/>
          <w:lang w:val="en-US"/>
        </w:rPr>
        <w:t xml:space="preserve"> falling sick or not?</w:t>
      </w:r>
    </w:p>
    <w:p w:rsidR="00B71B3E" w:rsidRPr="00513B89" w:rsidRDefault="00B71B3E" w:rsidP="00B71B3E">
      <w:pPr>
        <w:numPr>
          <w:ilvl w:val="0"/>
          <w:numId w:val="6"/>
        </w:numPr>
        <w:spacing w:after="240" w:line="240" w:lineRule="auto"/>
        <w:ind w:left="782" w:hanging="357"/>
        <w:jc w:val="both"/>
        <w:rPr>
          <w:rFonts w:ascii="Times New Roman" w:hAnsi="Times New Roman"/>
          <w:sz w:val="24"/>
          <w:szCs w:val="24"/>
          <w:lang w:val="en-US"/>
        </w:rPr>
      </w:pPr>
      <w:r>
        <w:rPr>
          <w:rFonts w:ascii="Times New Roman" w:hAnsi="Times New Roman"/>
          <w:sz w:val="24"/>
          <w:szCs w:val="24"/>
          <w:lang w:val="en-US"/>
        </w:rPr>
        <w:t xml:space="preserve"> </w:t>
      </w:r>
      <w:r w:rsidRPr="00513B89">
        <w:rPr>
          <w:rFonts w:ascii="Times New Roman" w:hAnsi="Times New Roman"/>
          <w:sz w:val="24"/>
          <w:szCs w:val="24"/>
          <w:lang w:val="en-US"/>
        </w:rPr>
        <w:t xml:space="preserve">Is it shocking that other people benefit from the premium that you have paid because </w:t>
      </w:r>
      <w:r>
        <w:rPr>
          <w:rFonts w:ascii="Times New Roman" w:hAnsi="Times New Roman"/>
          <w:sz w:val="24"/>
          <w:szCs w:val="24"/>
          <w:lang w:val="en-US"/>
        </w:rPr>
        <w:t>they have been sick?</w:t>
      </w:r>
    </w:p>
    <w:p w:rsidR="00B71B3E" w:rsidRDefault="00B71B3E" w:rsidP="008717A2">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Understanding of th</w:t>
      </w:r>
      <w:r w:rsidR="00C37C10">
        <w:rPr>
          <w:rFonts w:ascii="Times New Roman" w:hAnsi="Times New Roman"/>
          <w:sz w:val="24"/>
          <w:szCs w:val="24"/>
          <w:lang w:val="en-US"/>
        </w:rPr>
        <w:t>e insurance concept should be</w:t>
      </w:r>
      <w:r>
        <w:rPr>
          <w:rFonts w:ascii="Times New Roman" w:hAnsi="Times New Roman"/>
          <w:sz w:val="24"/>
          <w:szCs w:val="24"/>
          <w:lang w:val="en-US"/>
        </w:rPr>
        <w:t xml:space="preserve"> reflected in ne</w:t>
      </w:r>
      <w:r w:rsidR="00F13160">
        <w:rPr>
          <w:rFonts w:ascii="Times New Roman" w:hAnsi="Times New Roman"/>
          <w:sz w:val="24"/>
          <w:szCs w:val="24"/>
          <w:lang w:val="en-US"/>
        </w:rPr>
        <w:t>gative answers to each question</w:t>
      </w:r>
      <w:r w:rsidR="008F0B38">
        <w:rPr>
          <w:rFonts w:ascii="Times New Roman" w:hAnsi="Times New Roman"/>
          <w:sz w:val="24"/>
          <w:szCs w:val="24"/>
          <w:lang w:val="en-US"/>
        </w:rPr>
        <w:t>.</w:t>
      </w:r>
      <w:r>
        <w:rPr>
          <w:rFonts w:ascii="Times New Roman" w:hAnsi="Times New Roman"/>
          <w:sz w:val="24"/>
          <w:szCs w:val="24"/>
          <w:lang w:val="en-US"/>
        </w:rPr>
        <w:t xml:space="preserve"> It is striking that only 30% of the sample subscriber households answered no to either the first or the second question (29% for the first and 31% for the second). In addition, less than half of them (47%) answered negatively to the third question. </w:t>
      </w:r>
      <w:r w:rsidRPr="003215C0">
        <w:rPr>
          <w:rFonts w:ascii="Times New Roman" w:hAnsi="Times New Roman"/>
          <w:sz w:val="24"/>
          <w:szCs w:val="24"/>
          <w:lang w:val="en-US"/>
        </w:rPr>
        <w:t xml:space="preserve">On the basis of </w:t>
      </w:r>
      <w:r>
        <w:rPr>
          <w:rFonts w:ascii="Times New Roman" w:hAnsi="Times New Roman"/>
          <w:sz w:val="24"/>
          <w:szCs w:val="24"/>
          <w:lang w:val="en-US"/>
        </w:rPr>
        <w:t xml:space="preserve">the </w:t>
      </w:r>
      <w:r w:rsidRPr="003215C0">
        <w:rPr>
          <w:rFonts w:ascii="Times New Roman" w:hAnsi="Times New Roman"/>
          <w:sz w:val="24"/>
          <w:szCs w:val="24"/>
          <w:lang w:val="en-US"/>
        </w:rPr>
        <w:t xml:space="preserve">answers to these three questions, we </w:t>
      </w:r>
      <w:r>
        <w:rPr>
          <w:rFonts w:ascii="Times New Roman" w:hAnsi="Times New Roman"/>
          <w:sz w:val="24"/>
          <w:szCs w:val="24"/>
          <w:lang w:val="en-US"/>
        </w:rPr>
        <w:t xml:space="preserve">can </w:t>
      </w:r>
      <w:r w:rsidRPr="003215C0">
        <w:rPr>
          <w:rFonts w:ascii="Times New Roman" w:hAnsi="Times New Roman"/>
          <w:sz w:val="24"/>
          <w:szCs w:val="24"/>
          <w:lang w:val="en-US"/>
        </w:rPr>
        <w:t>construct three al</w:t>
      </w:r>
      <w:r>
        <w:rPr>
          <w:rFonts w:ascii="Times New Roman" w:hAnsi="Times New Roman"/>
          <w:sz w:val="24"/>
          <w:szCs w:val="24"/>
          <w:lang w:val="en-US"/>
        </w:rPr>
        <w:t xml:space="preserve">ternative binary measures of </w:t>
      </w:r>
      <w:r w:rsidRPr="003215C0">
        <w:rPr>
          <w:rFonts w:ascii="Times New Roman" w:hAnsi="Times New Roman"/>
          <w:sz w:val="24"/>
          <w:szCs w:val="24"/>
          <w:lang w:val="en-US"/>
        </w:rPr>
        <w:t>under</w:t>
      </w:r>
      <w:r>
        <w:rPr>
          <w:rFonts w:ascii="Times New Roman" w:hAnsi="Times New Roman"/>
          <w:sz w:val="24"/>
          <w:szCs w:val="24"/>
          <w:lang w:val="en-US"/>
        </w:rPr>
        <w:t>s</w:t>
      </w:r>
      <w:r w:rsidRPr="003215C0">
        <w:rPr>
          <w:rFonts w:ascii="Times New Roman" w:hAnsi="Times New Roman"/>
          <w:sz w:val="24"/>
          <w:szCs w:val="24"/>
          <w:lang w:val="en-US"/>
        </w:rPr>
        <w:t>tanding:</w:t>
      </w:r>
      <w:r>
        <w:rPr>
          <w:rFonts w:ascii="Times New Roman" w:hAnsi="Times New Roman"/>
          <w:sz w:val="24"/>
          <w:szCs w:val="24"/>
          <w:lang w:val="en-US"/>
        </w:rPr>
        <w:t xml:space="preserve"> </w:t>
      </w:r>
      <w:r w:rsidRPr="003215C0">
        <w:rPr>
          <w:rFonts w:ascii="Times New Roman" w:hAnsi="Times New Roman"/>
          <w:sz w:val="24"/>
          <w:szCs w:val="24"/>
          <w:lang w:val="en-US"/>
        </w:rPr>
        <w:t xml:space="preserve">a dummy equal to one if the household has answered </w:t>
      </w:r>
      <w:r w:rsidR="006D31F2">
        <w:rPr>
          <w:rFonts w:ascii="Times New Roman" w:hAnsi="Times New Roman"/>
          <w:sz w:val="24"/>
          <w:szCs w:val="24"/>
          <w:lang w:val="en-US"/>
        </w:rPr>
        <w:t>correctly (that is, negatively)</w:t>
      </w:r>
      <w:r w:rsidRPr="003215C0">
        <w:rPr>
          <w:rFonts w:ascii="Times New Roman" w:hAnsi="Times New Roman"/>
          <w:sz w:val="24"/>
          <w:szCs w:val="24"/>
          <w:lang w:val="en-US"/>
        </w:rPr>
        <w:t xml:space="preserve"> to </w:t>
      </w:r>
      <w:r>
        <w:rPr>
          <w:rFonts w:ascii="Times New Roman" w:hAnsi="Times New Roman"/>
          <w:sz w:val="24"/>
          <w:szCs w:val="24"/>
          <w:lang w:val="en-US"/>
        </w:rPr>
        <w:t>the three questions</w:t>
      </w:r>
      <w:r w:rsidRPr="003215C0">
        <w:rPr>
          <w:rFonts w:ascii="Times New Roman" w:hAnsi="Times New Roman"/>
          <w:sz w:val="24"/>
          <w:szCs w:val="24"/>
          <w:lang w:val="en-US"/>
        </w:rPr>
        <w:t xml:space="preserve"> (</w:t>
      </w:r>
      <w:r>
        <w:rPr>
          <w:rFonts w:ascii="Times New Roman" w:hAnsi="Times New Roman"/>
          <w:sz w:val="24"/>
          <w:szCs w:val="24"/>
          <w:lang w:val="en-US"/>
        </w:rPr>
        <w:t>UND_1</w:t>
      </w:r>
      <w:r w:rsidRPr="003215C0">
        <w:rPr>
          <w:rFonts w:ascii="Times New Roman" w:hAnsi="Times New Roman"/>
          <w:sz w:val="24"/>
          <w:szCs w:val="24"/>
          <w:lang w:val="en-US"/>
        </w:rPr>
        <w:t>)</w:t>
      </w:r>
      <w:r>
        <w:rPr>
          <w:rFonts w:ascii="Times New Roman" w:hAnsi="Times New Roman"/>
          <w:sz w:val="24"/>
          <w:szCs w:val="24"/>
          <w:lang w:val="en-US"/>
        </w:rPr>
        <w:t>, reflecting a very good understanding of what insurance is about</w:t>
      </w:r>
      <w:r w:rsidRPr="003215C0">
        <w:rPr>
          <w:rFonts w:ascii="Times New Roman" w:hAnsi="Times New Roman"/>
          <w:sz w:val="24"/>
          <w:szCs w:val="24"/>
          <w:lang w:val="en-US"/>
        </w:rPr>
        <w:t>;</w:t>
      </w:r>
      <w:r>
        <w:rPr>
          <w:rFonts w:ascii="Times New Roman" w:hAnsi="Times New Roman"/>
          <w:sz w:val="24"/>
          <w:szCs w:val="24"/>
          <w:lang w:val="en-US"/>
        </w:rPr>
        <w:t xml:space="preserve"> </w:t>
      </w:r>
      <w:r w:rsidRPr="003215C0">
        <w:rPr>
          <w:rFonts w:ascii="Times New Roman" w:hAnsi="Times New Roman"/>
          <w:sz w:val="24"/>
          <w:szCs w:val="24"/>
          <w:lang w:val="en-US"/>
        </w:rPr>
        <w:t xml:space="preserve">a dummy equal to one if the household has answered </w:t>
      </w:r>
      <w:r w:rsidR="002912BB">
        <w:rPr>
          <w:rFonts w:ascii="Times New Roman" w:hAnsi="Times New Roman"/>
          <w:sz w:val="24"/>
          <w:szCs w:val="24"/>
          <w:lang w:val="en-US"/>
        </w:rPr>
        <w:t>correctly</w:t>
      </w:r>
      <w:r w:rsidRPr="003215C0">
        <w:rPr>
          <w:rFonts w:ascii="Times New Roman" w:hAnsi="Times New Roman"/>
          <w:sz w:val="24"/>
          <w:szCs w:val="24"/>
          <w:lang w:val="en-US"/>
        </w:rPr>
        <w:t xml:space="preserve"> to at least two questions (</w:t>
      </w:r>
      <w:r>
        <w:rPr>
          <w:rFonts w:ascii="Times New Roman" w:hAnsi="Times New Roman"/>
          <w:sz w:val="24"/>
          <w:szCs w:val="24"/>
          <w:lang w:val="en-US"/>
        </w:rPr>
        <w:t>UND_2</w:t>
      </w:r>
      <w:r w:rsidRPr="003215C0">
        <w:rPr>
          <w:rFonts w:ascii="Times New Roman" w:hAnsi="Times New Roman"/>
          <w:sz w:val="24"/>
          <w:szCs w:val="24"/>
          <w:lang w:val="en-US"/>
        </w:rPr>
        <w:t>);</w:t>
      </w:r>
      <w:r>
        <w:rPr>
          <w:rFonts w:ascii="Times New Roman" w:hAnsi="Times New Roman"/>
          <w:sz w:val="24"/>
          <w:szCs w:val="24"/>
          <w:lang w:val="en-US"/>
        </w:rPr>
        <w:t xml:space="preserve"> </w:t>
      </w:r>
      <w:r w:rsidRPr="000D7C79">
        <w:rPr>
          <w:rFonts w:ascii="Times New Roman" w:hAnsi="Times New Roman"/>
          <w:sz w:val="24"/>
          <w:szCs w:val="24"/>
          <w:lang w:val="en-US"/>
        </w:rPr>
        <w:t xml:space="preserve">a dummy equal to one if the household has answered </w:t>
      </w:r>
      <w:r w:rsidR="002912BB">
        <w:rPr>
          <w:rFonts w:ascii="Times New Roman" w:hAnsi="Times New Roman"/>
          <w:sz w:val="24"/>
          <w:szCs w:val="24"/>
          <w:lang w:val="en-US"/>
        </w:rPr>
        <w:t>correctly</w:t>
      </w:r>
      <w:r w:rsidRPr="000D7C79">
        <w:rPr>
          <w:rFonts w:ascii="Times New Roman" w:hAnsi="Times New Roman"/>
          <w:sz w:val="24"/>
          <w:szCs w:val="24"/>
          <w:lang w:val="en-US"/>
        </w:rPr>
        <w:t xml:space="preserve"> to a</w:t>
      </w:r>
      <w:r>
        <w:rPr>
          <w:rFonts w:ascii="Times New Roman" w:hAnsi="Times New Roman"/>
          <w:sz w:val="24"/>
          <w:szCs w:val="24"/>
          <w:lang w:val="en-US"/>
        </w:rPr>
        <w:t xml:space="preserve">t </w:t>
      </w:r>
      <w:r>
        <w:rPr>
          <w:rFonts w:ascii="Times New Roman" w:hAnsi="Times New Roman"/>
          <w:sz w:val="24"/>
          <w:szCs w:val="24"/>
          <w:lang w:val="en-US"/>
        </w:rPr>
        <w:lastRenderedPageBreak/>
        <w:t>least one</w:t>
      </w:r>
      <w:r w:rsidRPr="000D7C79">
        <w:rPr>
          <w:rFonts w:ascii="Times New Roman" w:hAnsi="Times New Roman"/>
          <w:sz w:val="24"/>
          <w:szCs w:val="24"/>
          <w:lang w:val="en-US"/>
        </w:rPr>
        <w:t xml:space="preserve"> question (</w:t>
      </w:r>
      <w:r>
        <w:rPr>
          <w:rFonts w:ascii="Times New Roman" w:hAnsi="Times New Roman"/>
          <w:sz w:val="24"/>
          <w:szCs w:val="24"/>
          <w:lang w:val="en-US"/>
        </w:rPr>
        <w:t>UND_3</w:t>
      </w:r>
      <w:r w:rsidRPr="000D7C79">
        <w:rPr>
          <w:rFonts w:ascii="Times New Roman" w:hAnsi="Times New Roman"/>
          <w:sz w:val="24"/>
          <w:szCs w:val="24"/>
          <w:lang w:val="en-US"/>
        </w:rPr>
        <w:t>).</w:t>
      </w:r>
      <w:r w:rsidR="008F0B38">
        <w:rPr>
          <w:rFonts w:ascii="Times New Roman" w:hAnsi="Times New Roman"/>
          <w:sz w:val="24"/>
          <w:szCs w:val="24"/>
          <w:lang w:val="en-US"/>
        </w:rPr>
        <w:t xml:space="preserve"> We find</w:t>
      </w:r>
      <w:r>
        <w:rPr>
          <w:rFonts w:ascii="Times New Roman" w:hAnsi="Times New Roman"/>
          <w:sz w:val="24"/>
          <w:szCs w:val="24"/>
          <w:lang w:val="en-US"/>
        </w:rPr>
        <w:t xml:space="preserve"> that U</w:t>
      </w:r>
      <w:r w:rsidR="008F0B38">
        <w:rPr>
          <w:rFonts w:ascii="Times New Roman" w:hAnsi="Times New Roman"/>
          <w:sz w:val="24"/>
          <w:szCs w:val="24"/>
          <w:lang w:val="en-US"/>
        </w:rPr>
        <w:t>ND_1 = 1 for only 7.5 % of the subscriber households, UND_2 = 1 for 35.3%, and UND_3 = 1 for 74.5% of them</w:t>
      </w:r>
      <w:r>
        <w:rPr>
          <w:rFonts w:ascii="Times New Roman" w:hAnsi="Times New Roman"/>
          <w:sz w:val="24"/>
          <w:szCs w:val="24"/>
          <w:lang w:val="en-US"/>
        </w:rPr>
        <w:t>.</w:t>
      </w:r>
      <w:r w:rsidR="008F0B38">
        <w:rPr>
          <w:rFonts w:ascii="Times New Roman" w:hAnsi="Times New Roman"/>
          <w:sz w:val="24"/>
          <w:szCs w:val="24"/>
          <w:lang w:val="en-US"/>
        </w:rPr>
        <w:t xml:space="preserve"> </w:t>
      </w:r>
      <w:r w:rsidR="00CA4B4D">
        <w:rPr>
          <w:rFonts w:ascii="Times New Roman" w:hAnsi="Times New Roman"/>
          <w:sz w:val="24"/>
          <w:szCs w:val="24"/>
          <w:lang w:val="en-US"/>
        </w:rPr>
        <w:t>It could be argued that a positive answer to the second question does not necessarily point to bad understanding of insurance because the respondent may believe that a deductible would precisel</w:t>
      </w:r>
      <w:r w:rsidR="007868C2">
        <w:rPr>
          <w:rFonts w:ascii="Times New Roman" w:hAnsi="Times New Roman"/>
          <w:sz w:val="24"/>
          <w:szCs w:val="24"/>
          <w:lang w:val="en-US"/>
        </w:rPr>
        <w:t>y have the effect of varying the</w:t>
      </w:r>
      <w:r w:rsidR="00CA4B4D">
        <w:rPr>
          <w:rFonts w:ascii="Times New Roman" w:hAnsi="Times New Roman"/>
          <w:sz w:val="24"/>
          <w:szCs w:val="24"/>
          <w:lang w:val="en-US"/>
        </w:rPr>
        <w:t xml:space="preserve"> cost between sick and healthy insured individuals.</w:t>
      </w:r>
      <w:r w:rsidR="00337CDB">
        <w:rPr>
          <w:rFonts w:ascii="Times New Roman" w:hAnsi="Times New Roman"/>
          <w:sz w:val="24"/>
          <w:szCs w:val="24"/>
          <w:lang w:val="en-US"/>
        </w:rPr>
        <w:t xml:space="preserve"> The measure UND_1 would then appear to be too requiring and UND_2 preferable. As will be seen later, it is the latter measure that will be </w:t>
      </w:r>
      <w:r w:rsidR="00971D00">
        <w:rPr>
          <w:rFonts w:ascii="Times New Roman" w:hAnsi="Times New Roman"/>
          <w:sz w:val="24"/>
          <w:szCs w:val="24"/>
          <w:lang w:val="en-US"/>
        </w:rPr>
        <w:t xml:space="preserve">actually </w:t>
      </w:r>
      <w:r w:rsidR="00337CDB">
        <w:rPr>
          <w:rFonts w:ascii="Times New Roman" w:hAnsi="Times New Roman"/>
          <w:sz w:val="24"/>
          <w:szCs w:val="24"/>
          <w:lang w:val="en-US"/>
        </w:rPr>
        <w:t>adopted in our econometric estimation</w:t>
      </w:r>
      <w:r w:rsidR="00971D00">
        <w:rPr>
          <w:rFonts w:ascii="Times New Roman" w:hAnsi="Times New Roman"/>
          <w:sz w:val="24"/>
          <w:szCs w:val="24"/>
          <w:lang w:val="en-US"/>
        </w:rPr>
        <w:t>s</w:t>
      </w:r>
      <w:r w:rsidR="00337CDB">
        <w:rPr>
          <w:rFonts w:ascii="Times New Roman" w:hAnsi="Times New Roman"/>
          <w:sz w:val="24"/>
          <w:szCs w:val="24"/>
          <w:lang w:val="en-US"/>
        </w:rPr>
        <w:t>.</w:t>
      </w:r>
      <w:r>
        <w:rPr>
          <w:rFonts w:ascii="Times New Roman" w:hAnsi="Times New Roman"/>
          <w:sz w:val="24"/>
          <w:szCs w:val="24"/>
          <w:lang w:val="en-US"/>
        </w:rPr>
        <w:t xml:space="preserve"> </w:t>
      </w:r>
    </w:p>
    <w:p w:rsidR="00934058" w:rsidRPr="008717A2" w:rsidRDefault="00934058" w:rsidP="008717A2">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It is important to note at this stage that, if the above evidence clearly testifies to a problem of understanding among many villagers, it does not allow us to rigorously identify the theory that bes</w:t>
      </w:r>
      <w:r w:rsidR="009F1C01">
        <w:rPr>
          <w:rFonts w:ascii="Times New Roman" w:hAnsi="Times New Roman"/>
          <w:sz w:val="24"/>
          <w:szCs w:val="24"/>
          <w:lang w:val="en-US"/>
        </w:rPr>
        <w:t>t explains their underlying behavior.</w:t>
      </w:r>
      <w:r>
        <w:rPr>
          <w:rFonts w:ascii="Times New Roman" w:hAnsi="Times New Roman"/>
          <w:sz w:val="24"/>
          <w:szCs w:val="24"/>
          <w:lang w:val="en-US"/>
        </w:rPr>
        <w:t xml:space="preserve"> </w:t>
      </w:r>
      <w:r w:rsidR="00413836">
        <w:rPr>
          <w:rFonts w:ascii="Times New Roman" w:hAnsi="Times New Roman"/>
          <w:sz w:val="24"/>
          <w:szCs w:val="24"/>
          <w:lang w:val="en-US"/>
        </w:rPr>
        <w:t>The normative character of the</w:t>
      </w:r>
      <w:r w:rsidR="009F1C01">
        <w:rPr>
          <w:rFonts w:ascii="Times New Roman" w:hAnsi="Times New Roman"/>
          <w:sz w:val="24"/>
          <w:szCs w:val="24"/>
          <w:lang w:val="en-US"/>
        </w:rPr>
        <w:t xml:space="preserve"> questions and the elusiveness of fairness judgments leave room for uncertainty regarding the correct theoretical interpretation, in particul</w:t>
      </w:r>
      <w:r w:rsidR="00413836">
        <w:rPr>
          <w:rFonts w:ascii="Times New Roman" w:hAnsi="Times New Roman"/>
          <w:sz w:val="24"/>
          <w:szCs w:val="24"/>
          <w:lang w:val="en-US"/>
        </w:rPr>
        <w:t>ar whether the theory of credit/investment</w:t>
      </w:r>
      <w:r w:rsidR="00E33BDF">
        <w:rPr>
          <w:rFonts w:ascii="Times New Roman" w:hAnsi="Times New Roman"/>
          <w:sz w:val="24"/>
          <w:szCs w:val="24"/>
          <w:lang w:val="en-US"/>
        </w:rPr>
        <w:t>, regret,</w:t>
      </w:r>
      <w:r w:rsidR="0087044D">
        <w:rPr>
          <w:rFonts w:ascii="Times New Roman" w:hAnsi="Times New Roman"/>
          <w:sz w:val="24"/>
          <w:szCs w:val="24"/>
          <w:lang w:val="en-US"/>
        </w:rPr>
        <w:t xml:space="preserve"> or (myopic) loss aversion</w:t>
      </w:r>
      <w:r w:rsidR="009F1C01">
        <w:rPr>
          <w:rFonts w:ascii="Times New Roman" w:hAnsi="Times New Roman"/>
          <w:sz w:val="24"/>
          <w:szCs w:val="24"/>
          <w:lang w:val="en-US"/>
        </w:rPr>
        <w:t xml:space="preserve"> provides the best clue to the low level of understanding that we have observed.  </w:t>
      </w:r>
    </w:p>
    <w:p w:rsidR="00B71B3E" w:rsidRDefault="00D41F17"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As we know from a number of studies, deficient information may be a serious cause of low participation in insurance programs. </w:t>
      </w:r>
      <w:r w:rsidR="00B71B3E">
        <w:rPr>
          <w:rFonts w:ascii="Times New Roman" w:hAnsi="Times New Roman"/>
          <w:sz w:val="24"/>
          <w:szCs w:val="24"/>
          <w:lang w:val="en-US"/>
        </w:rPr>
        <w:t>T</w:t>
      </w:r>
      <w:r>
        <w:rPr>
          <w:rFonts w:ascii="Times New Roman" w:hAnsi="Times New Roman"/>
          <w:sz w:val="24"/>
          <w:szCs w:val="24"/>
          <w:lang w:val="en-US"/>
        </w:rPr>
        <w:t>o</w:t>
      </w:r>
      <w:r w:rsidR="008717A2">
        <w:rPr>
          <w:rFonts w:ascii="Times New Roman" w:hAnsi="Times New Roman"/>
          <w:sz w:val="24"/>
          <w:szCs w:val="24"/>
          <w:lang w:val="en-US"/>
        </w:rPr>
        <w:t xml:space="preserve"> </w:t>
      </w:r>
      <w:r w:rsidR="00B71B3E">
        <w:rPr>
          <w:rFonts w:ascii="Times New Roman" w:hAnsi="Times New Roman"/>
          <w:sz w:val="24"/>
          <w:szCs w:val="24"/>
          <w:lang w:val="en-US"/>
        </w:rPr>
        <w:t>measure the level of information</w:t>
      </w:r>
      <w:r>
        <w:rPr>
          <w:rFonts w:ascii="Times New Roman" w:hAnsi="Times New Roman"/>
          <w:sz w:val="24"/>
          <w:szCs w:val="24"/>
          <w:lang w:val="en-US"/>
        </w:rPr>
        <w:t xml:space="preserve">, </w:t>
      </w:r>
      <w:r w:rsidR="00B71B3E">
        <w:rPr>
          <w:rFonts w:ascii="Times New Roman" w:hAnsi="Times New Roman"/>
          <w:sz w:val="24"/>
          <w:szCs w:val="24"/>
          <w:lang w:val="en-US"/>
        </w:rPr>
        <w:t>we use the following questions:</w:t>
      </w:r>
    </w:p>
    <w:p w:rsidR="00B71B3E" w:rsidRDefault="00B71B3E" w:rsidP="00B71B3E">
      <w:pPr>
        <w:numPr>
          <w:ilvl w:val="0"/>
          <w:numId w:val="8"/>
        </w:numPr>
        <w:spacing w:after="240" w:line="240" w:lineRule="auto"/>
        <w:ind w:left="1066" w:hanging="357"/>
        <w:jc w:val="both"/>
        <w:rPr>
          <w:rFonts w:ascii="Times New Roman" w:hAnsi="Times New Roman"/>
          <w:sz w:val="24"/>
          <w:szCs w:val="24"/>
          <w:lang w:val="en-US"/>
        </w:rPr>
      </w:pPr>
      <w:r w:rsidRPr="00014CEC">
        <w:rPr>
          <w:rFonts w:ascii="Times New Roman" w:hAnsi="Times New Roman"/>
          <w:sz w:val="24"/>
          <w:szCs w:val="24"/>
          <w:lang w:val="en-US"/>
        </w:rPr>
        <w:t>Do you know the discounts provided by the insurance scheme?</w:t>
      </w:r>
    </w:p>
    <w:p w:rsidR="00B71B3E" w:rsidRDefault="00B71B3E" w:rsidP="00B71B3E">
      <w:pPr>
        <w:numPr>
          <w:ilvl w:val="0"/>
          <w:numId w:val="8"/>
        </w:numPr>
        <w:spacing w:after="240" w:line="240" w:lineRule="auto"/>
        <w:ind w:left="1066" w:hanging="357"/>
        <w:jc w:val="both"/>
        <w:rPr>
          <w:rFonts w:ascii="Times New Roman" w:hAnsi="Times New Roman"/>
          <w:sz w:val="24"/>
          <w:szCs w:val="24"/>
          <w:lang w:val="en-US"/>
        </w:rPr>
      </w:pPr>
      <w:r w:rsidRPr="00F34B50">
        <w:rPr>
          <w:rFonts w:ascii="Times New Roman" w:hAnsi="Times New Roman"/>
          <w:sz w:val="24"/>
          <w:szCs w:val="24"/>
          <w:lang w:val="en-US"/>
        </w:rPr>
        <w:t xml:space="preserve">Do you know </w:t>
      </w:r>
      <w:r>
        <w:rPr>
          <w:rFonts w:ascii="Times New Roman" w:hAnsi="Times New Roman"/>
          <w:sz w:val="24"/>
          <w:szCs w:val="24"/>
          <w:lang w:val="en-US"/>
        </w:rPr>
        <w:t>the</w:t>
      </w:r>
      <w:r w:rsidRPr="00F34B50">
        <w:rPr>
          <w:rFonts w:ascii="Times New Roman" w:hAnsi="Times New Roman"/>
          <w:sz w:val="24"/>
          <w:szCs w:val="24"/>
          <w:lang w:val="en-US"/>
        </w:rPr>
        <w:t xml:space="preserve"> health facilities</w:t>
      </w:r>
      <w:r>
        <w:rPr>
          <w:rFonts w:ascii="Times New Roman" w:hAnsi="Times New Roman"/>
          <w:sz w:val="24"/>
          <w:szCs w:val="24"/>
          <w:lang w:val="en-US"/>
        </w:rPr>
        <w:t xml:space="preserve"> in which you</w:t>
      </w:r>
      <w:r w:rsidRPr="00F34B50">
        <w:rPr>
          <w:rFonts w:ascii="Times New Roman" w:hAnsi="Times New Roman"/>
          <w:sz w:val="24"/>
          <w:szCs w:val="24"/>
          <w:lang w:val="en-US"/>
        </w:rPr>
        <w:t xml:space="preserve"> can obtain the discounts provided by the insurance?</w:t>
      </w:r>
    </w:p>
    <w:p w:rsidR="00B71B3E" w:rsidRDefault="00B71B3E" w:rsidP="00B71B3E">
      <w:pPr>
        <w:numPr>
          <w:ilvl w:val="0"/>
          <w:numId w:val="8"/>
        </w:numPr>
        <w:spacing w:after="240" w:line="240" w:lineRule="auto"/>
        <w:ind w:left="1066" w:hanging="357"/>
        <w:jc w:val="both"/>
        <w:rPr>
          <w:rFonts w:ascii="Times New Roman" w:hAnsi="Times New Roman"/>
          <w:sz w:val="24"/>
          <w:szCs w:val="24"/>
          <w:lang w:val="en-US"/>
        </w:rPr>
      </w:pPr>
      <w:r>
        <w:rPr>
          <w:rFonts w:ascii="Times New Roman" w:hAnsi="Times New Roman"/>
          <w:sz w:val="24"/>
          <w:szCs w:val="24"/>
          <w:lang w:val="en-US"/>
        </w:rPr>
        <w:t>Do you know how to renew the contract?</w:t>
      </w:r>
    </w:p>
    <w:p w:rsidR="00B71B3E"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Good information is reflected in posi</w:t>
      </w:r>
      <w:r w:rsidRPr="00014CEC">
        <w:rPr>
          <w:rFonts w:ascii="Times New Roman" w:hAnsi="Times New Roman"/>
          <w:sz w:val="24"/>
          <w:szCs w:val="24"/>
          <w:lang w:val="en-US"/>
        </w:rPr>
        <w:t xml:space="preserve">tive answers to </w:t>
      </w:r>
      <w:r>
        <w:rPr>
          <w:rFonts w:ascii="Times New Roman" w:hAnsi="Times New Roman"/>
          <w:sz w:val="24"/>
          <w:szCs w:val="24"/>
          <w:lang w:val="en-US"/>
        </w:rPr>
        <w:t>these</w:t>
      </w:r>
      <w:r w:rsidRPr="00014CEC">
        <w:rPr>
          <w:rFonts w:ascii="Times New Roman" w:hAnsi="Times New Roman"/>
          <w:sz w:val="24"/>
          <w:szCs w:val="24"/>
          <w:lang w:val="en-US"/>
        </w:rPr>
        <w:t xml:space="preserve"> question</w:t>
      </w:r>
      <w:r>
        <w:rPr>
          <w:rFonts w:ascii="Times New Roman" w:hAnsi="Times New Roman"/>
          <w:sz w:val="24"/>
          <w:szCs w:val="24"/>
          <w:lang w:val="en-US"/>
        </w:rPr>
        <w:t>s</w:t>
      </w:r>
      <w:r w:rsidRPr="00014CEC">
        <w:rPr>
          <w:rFonts w:ascii="Times New Roman" w:hAnsi="Times New Roman"/>
          <w:sz w:val="24"/>
          <w:szCs w:val="24"/>
          <w:lang w:val="en-US"/>
        </w:rPr>
        <w:t>.</w:t>
      </w:r>
      <w:r>
        <w:rPr>
          <w:rFonts w:ascii="Times New Roman" w:hAnsi="Times New Roman"/>
          <w:sz w:val="24"/>
          <w:szCs w:val="24"/>
          <w:lang w:val="en-US"/>
        </w:rPr>
        <w:t xml:space="preserve"> The data reveal that only one-fifth of the subscriber households could provide the correct details of the discounts offered by the SSP scheme. A little more than one-third of them (34%) knew that discounted prices can only be obtained in a limited number of health facilities, which they were able to identify. Finally, two-fifths of them knew how to renew their insurance contract. On the basis of answers to the above three questions, we</w:t>
      </w:r>
      <w:r w:rsidRPr="00014CEC">
        <w:rPr>
          <w:rFonts w:ascii="Times New Roman" w:hAnsi="Times New Roman"/>
          <w:sz w:val="24"/>
          <w:szCs w:val="24"/>
          <w:lang w:val="en-US"/>
        </w:rPr>
        <w:t xml:space="preserve"> construct three alterna</w:t>
      </w:r>
      <w:r>
        <w:rPr>
          <w:rFonts w:ascii="Times New Roman" w:hAnsi="Times New Roman"/>
          <w:sz w:val="24"/>
          <w:szCs w:val="24"/>
          <w:lang w:val="en-US"/>
        </w:rPr>
        <w:t>tive binary measures of information</w:t>
      </w:r>
      <w:r w:rsidRPr="00014CEC">
        <w:rPr>
          <w:rFonts w:ascii="Times New Roman" w:hAnsi="Times New Roman"/>
          <w:sz w:val="24"/>
          <w:szCs w:val="24"/>
          <w:lang w:val="en-US"/>
        </w:rPr>
        <w:t>: a dummy equal to one i</w:t>
      </w:r>
      <w:r>
        <w:rPr>
          <w:rFonts w:ascii="Times New Roman" w:hAnsi="Times New Roman"/>
          <w:sz w:val="24"/>
          <w:szCs w:val="24"/>
          <w:lang w:val="en-US"/>
        </w:rPr>
        <w:t>f the household has answered correctly</w:t>
      </w:r>
      <w:r w:rsidRPr="00014CEC">
        <w:rPr>
          <w:rFonts w:ascii="Times New Roman" w:hAnsi="Times New Roman"/>
          <w:sz w:val="24"/>
          <w:szCs w:val="24"/>
          <w:lang w:val="en-US"/>
        </w:rPr>
        <w:t xml:space="preserve"> to </w:t>
      </w:r>
      <w:r>
        <w:rPr>
          <w:rFonts w:ascii="Times New Roman" w:hAnsi="Times New Roman"/>
          <w:sz w:val="24"/>
          <w:szCs w:val="24"/>
          <w:lang w:val="en-US"/>
        </w:rPr>
        <w:t>the three questions</w:t>
      </w:r>
      <w:r w:rsidRPr="00014CEC">
        <w:rPr>
          <w:rFonts w:ascii="Times New Roman" w:hAnsi="Times New Roman"/>
          <w:sz w:val="24"/>
          <w:szCs w:val="24"/>
          <w:lang w:val="en-US"/>
        </w:rPr>
        <w:t xml:space="preserve"> (</w:t>
      </w:r>
      <w:r>
        <w:rPr>
          <w:rFonts w:ascii="Times New Roman" w:hAnsi="Times New Roman"/>
          <w:sz w:val="24"/>
          <w:szCs w:val="24"/>
          <w:lang w:val="en-US"/>
        </w:rPr>
        <w:t>INFO_</w:t>
      </w:r>
      <w:r w:rsidRPr="00014CEC">
        <w:rPr>
          <w:rFonts w:ascii="Times New Roman" w:hAnsi="Times New Roman"/>
          <w:sz w:val="24"/>
          <w:szCs w:val="24"/>
          <w:lang w:val="en-US"/>
        </w:rPr>
        <w:t>1)</w:t>
      </w:r>
      <w:r>
        <w:rPr>
          <w:rFonts w:ascii="Times New Roman" w:hAnsi="Times New Roman"/>
          <w:sz w:val="24"/>
          <w:szCs w:val="24"/>
          <w:lang w:val="en-US"/>
        </w:rPr>
        <w:t>, reflecting very good information about the product and the functioning of the scheme</w:t>
      </w:r>
      <w:r w:rsidRPr="00014CEC">
        <w:rPr>
          <w:rFonts w:ascii="Times New Roman" w:hAnsi="Times New Roman"/>
          <w:sz w:val="24"/>
          <w:szCs w:val="24"/>
          <w:lang w:val="en-US"/>
        </w:rPr>
        <w:t>; a dummy equal to one i</w:t>
      </w:r>
      <w:r>
        <w:rPr>
          <w:rFonts w:ascii="Times New Roman" w:hAnsi="Times New Roman"/>
          <w:sz w:val="24"/>
          <w:szCs w:val="24"/>
          <w:lang w:val="en-US"/>
        </w:rPr>
        <w:t>f the household has answered correctly</w:t>
      </w:r>
      <w:r w:rsidRPr="00014CEC">
        <w:rPr>
          <w:rFonts w:ascii="Times New Roman" w:hAnsi="Times New Roman"/>
          <w:sz w:val="24"/>
          <w:szCs w:val="24"/>
          <w:lang w:val="en-US"/>
        </w:rPr>
        <w:t xml:space="preserve"> to at least two questions (</w:t>
      </w:r>
      <w:r>
        <w:rPr>
          <w:rFonts w:ascii="Times New Roman" w:hAnsi="Times New Roman"/>
          <w:sz w:val="24"/>
          <w:szCs w:val="24"/>
          <w:lang w:val="en-US"/>
        </w:rPr>
        <w:t>INFO_</w:t>
      </w:r>
      <w:r w:rsidRPr="00014CEC">
        <w:rPr>
          <w:rFonts w:ascii="Times New Roman" w:hAnsi="Times New Roman"/>
          <w:sz w:val="24"/>
          <w:szCs w:val="24"/>
          <w:lang w:val="en-US"/>
        </w:rPr>
        <w:t>2); a dummy equal to one i</w:t>
      </w:r>
      <w:r>
        <w:rPr>
          <w:rFonts w:ascii="Times New Roman" w:hAnsi="Times New Roman"/>
          <w:sz w:val="24"/>
          <w:szCs w:val="24"/>
          <w:lang w:val="en-US"/>
        </w:rPr>
        <w:t>f the household has answered correctly</w:t>
      </w:r>
      <w:r w:rsidRPr="00014CEC">
        <w:rPr>
          <w:rFonts w:ascii="Times New Roman" w:hAnsi="Times New Roman"/>
          <w:sz w:val="24"/>
          <w:szCs w:val="24"/>
          <w:lang w:val="en-US"/>
        </w:rPr>
        <w:t xml:space="preserve"> to a</w:t>
      </w:r>
      <w:r>
        <w:rPr>
          <w:rFonts w:ascii="Times New Roman" w:hAnsi="Times New Roman"/>
          <w:sz w:val="24"/>
          <w:szCs w:val="24"/>
          <w:lang w:val="en-US"/>
        </w:rPr>
        <w:t xml:space="preserve">t least </w:t>
      </w:r>
      <w:r>
        <w:rPr>
          <w:rFonts w:ascii="Times New Roman" w:hAnsi="Times New Roman"/>
          <w:sz w:val="24"/>
          <w:szCs w:val="24"/>
          <w:lang w:val="en-US"/>
        </w:rPr>
        <w:lastRenderedPageBreak/>
        <w:t xml:space="preserve">one </w:t>
      </w:r>
      <w:r w:rsidRPr="00014CEC">
        <w:rPr>
          <w:rFonts w:ascii="Times New Roman" w:hAnsi="Times New Roman"/>
          <w:sz w:val="24"/>
          <w:szCs w:val="24"/>
          <w:lang w:val="en-US"/>
        </w:rPr>
        <w:t>question (</w:t>
      </w:r>
      <w:r>
        <w:rPr>
          <w:rFonts w:ascii="Times New Roman" w:hAnsi="Times New Roman"/>
          <w:sz w:val="24"/>
          <w:szCs w:val="24"/>
          <w:lang w:val="en-US"/>
        </w:rPr>
        <w:t>INFO_3</w:t>
      </w:r>
      <w:r w:rsidRPr="00014CEC">
        <w:rPr>
          <w:rFonts w:ascii="Times New Roman" w:hAnsi="Times New Roman"/>
          <w:sz w:val="24"/>
          <w:szCs w:val="24"/>
          <w:lang w:val="en-US"/>
        </w:rPr>
        <w:t xml:space="preserve">). From our dataset, it is evident that </w:t>
      </w:r>
      <w:r>
        <w:rPr>
          <w:rFonts w:ascii="Times New Roman" w:hAnsi="Times New Roman"/>
          <w:sz w:val="24"/>
          <w:szCs w:val="24"/>
          <w:lang w:val="en-US"/>
        </w:rPr>
        <w:t>INFO_1</w:t>
      </w:r>
      <w:r w:rsidRPr="00014CEC">
        <w:rPr>
          <w:rFonts w:ascii="Times New Roman" w:hAnsi="Times New Roman"/>
          <w:sz w:val="24"/>
          <w:szCs w:val="24"/>
          <w:lang w:val="en-US"/>
        </w:rPr>
        <w:t xml:space="preserve"> = 1 for </w:t>
      </w:r>
      <w:r>
        <w:rPr>
          <w:rFonts w:ascii="Times New Roman" w:hAnsi="Times New Roman"/>
          <w:sz w:val="24"/>
          <w:szCs w:val="24"/>
          <w:lang w:val="en-US"/>
        </w:rPr>
        <w:t>less than one-tenth</w:t>
      </w:r>
      <w:r w:rsidRPr="00014CEC">
        <w:rPr>
          <w:rFonts w:ascii="Times New Roman" w:hAnsi="Times New Roman"/>
          <w:sz w:val="24"/>
          <w:szCs w:val="24"/>
          <w:lang w:val="en-US"/>
        </w:rPr>
        <w:t xml:space="preserve"> of the su</w:t>
      </w:r>
      <w:r>
        <w:rPr>
          <w:rFonts w:ascii="Times New Roman" w:hAnsi="Times New Roman"/>
          <w:sz w:val="24"/>
          <w:szCs w:val="24"/>
          <w:lang w:val="en-US"/>
        </w:rPr>
        <w:t>bscriber households (8.8</w:t>
      </w:r>
      <w:r w:rsidRPr="00014CEC">
        <w:rPr>
          <w:rFonts w:ascii="Times New Roman" w:hAnsi="Times New Roman"/>
          <w:sz w:val="24"/>
          <w:szCs w:val="24"/>
          <w:lang w:val="en-US"/>
        </w:rPr>
        <w:t xml:space="preserve">%); </w:t>
      </w:r>
      <w:r>
        <w:rPr>
          <w:rFonts w:ascii="Times New Roman" w:hAnsi="Times New Roman"/>
          <w:sz w:val="24"/>
          <w:szCs w:val="24"/>
          <w:lang w:val="en-US"/>
        </w:rPr>
        <w:t>INFO_2</w:t>
      </w:r>
      <w:r w:rsidRPr="00014CEC">
        <w:rPr>
          <w:rFonts w:ascii="Times New Roman" w:hAnsi="Times New Roman"/>
          <w:sz w:val="24"/>
          <w:szCs w:val="24"/>
          <w:lang w:val="en-US"/>
        </w:rPr>
        <w:t xml:space="preserve"> = 1 for </w:t>
      </w:r>
      <w:r>
        <w:rPr>
          <w:rFonts w:ascii="Times New Roman" w:hAnsi="Times New Roman"/>
          <w:sz w:val="24"/>
          <w:szCs w:val="24"/>
          <w:lang w:val="en-US"/>
        </w:rPr>
        <w:t>about 23% of them</w:t>
      </w:r>
      <w:r w:rsidRPr="00014CEC">
        <w:rPr>
          <w:rFonts w:ascii="Times New Roman" w:hAnsi="Times New Roman"/>
          <w:sz w:val="24"/>
          <w:szCs w:val="24"/>
          <w:lang w:val="en-US"/>
        </w:rPr>
        <w:t xml:space="preserve">; and </w:t>
      </w:r>
      <w:r>
        <w:rPr>
          <w:rFonts w:ascii="Times New Roman" w:hAnsi="Times New Roman"/>
          <w:sz w:val="24"/>
          <w:szCs w:val="24"/>
          <w:lang w:val="en-US"/>
        </w:rPr>
        <w:t>INFO_3 = 1 for about 62%</w:t>
      </w:r>
      <w:r w:rsidRPr="00014CEC">
        <w:rPr>
          <w:rFonts w:ascii="Times New Roman" w:hAnsi="Times New Roman"/>
          <w:sz w:val="24"/>
          <w:szCs w:val="24"/>
          <w:lang w:val="en-US"/>
        </w:rPr>
        <w:t xml:space="preserve">. </w:t>
      </w:r>
    </w:p>
    <w:p w:rsidR="008717A2" w:rsidRPr="00882B64" w:rsidRDefault="00B71B3E" w:rsidP="00882B64">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Unsurprisingly, a </w:t>
      </w:r>
      <w:r w:rsidRPr="0049504F">
        <w:rPr>
          <w:rFonts w:ascii="Times New Roman" w:hAnsi="Times New Roman"/>
          <w:sz w:val="24"/>
          <w:szCs w:val="24"/>
          <w:lang w:val="en-US"/>
        </w:rPr>
        <w:t>significant correlation</w:t>
      </w:r>
      <w:r>
        <w:rPr>
          <w:rFonts w:ascii="Times New Roman" w:hAnsi="Times New Roman"/>
          <w:sz w:val="24"/>
          <w:szCs w:val="24"/>
          <w:lang w:val="en-US"/>
        </w:rPr>
        <w:t xml:space="preserve"> exists between </w:t>
      </w:r>
      <w:r w:rsidRPr="0049504F">
        <w:rPr>
          <w:rFonts w:ascii="Times New Roman" w:hAnsi="Times New Roman"/>
          <w:sz w:val="24"/>
          <w:szCs w:val="24"/>
          <w:lang w:val="en-US"/>
        </w:rPr>
        <w:t>understan</w:t>
      </w:r>
      <w:r>
        <w:rPr>
          <w:rFonts w:ascii="Times New Roman" w:hAnsi="Times New Roman"/>
          <w:sz w:val="24"/>
          <w:szCs w:val="24"/>
          <w:lang w:val="en-US"/>
        </w:rPr>
        <w:t>ding and information, yet this</w:t>
      </w:r>
      <w:r w:rsidRPr="0049504F">
        <w:rPr>
          <w:rFonts w:ascii="Times New Roman" w:hAnsi="Times New Roman"/>
          <w:sz w:val="24"/>
          <w:szCs w:val="24"/>
          <w:lang w:val="en-US"/>
        </w:rPr>
        <w:t xml:space="preserve"> correlation is far from perfect</w:t>
      </w:r>
      <w:r>
        <w:rPr>
          <w:rFonts w:ascii="Times New Roman" w:hAnsi="Times New Roman"/>
          <w:sz w:val="24"/>
          <w:szCs w:val="24"/>
          <w:lang w:val="en-US"/>
        </w:rPr>
        <w:t>.</w:t>
      </w:r>
      <w:r w:rsidR="007D49F3">
        <w:rPr>
          <w:rStyle w:val="Appelnotedebasdep"/>
          <w:rFonts w:ascii="Times New Roman" w:hAnsi="Times New Roman"/>
          <w:sz w:val="24"/>
          <w:szCs w:val="24"/>
          <w:lang w:val="en-US"/>
        </w:rPr>
        <w:footnoteReference w:id="15"/>
      </w:r>
      <w:r w:rsidR="007D49F3">
        <w:rPr>
          <w:rFonts w:ascii="Times New Roman" w:hAnsi="Times New Roman"/>
          <w:sz w:val="24"/>
          <w:szCs w:val="24"/>
          <w:lang w:val="en-US"/>
        </w:rPr>
        <w:t xml:space="preserve"> </w:t>
      </w:r>
      <w:r w:rsidR="000401B5">
        <w:rPr>
          <w:rFonts w:ascii="Times New Roman" w:hAnsi="Times New Roman"/>
          <w:sz w:val="24"/>
          <w:szCs w:val="24"/>
          <w:lang w:val="en-US"/>
        </w:rPr>
        <w:t>Much less expected is the finding that</w:t>
      </w:r>
      <w:r w:rsidR="00B87A3B">
        <w:rPr>
          <w:rFonts w:ascii="Times New Roman" w:hAnsi="Times New Roman"/>
          <w:sz w:val="24"/>
          <w:szCs w:val="24"/>
          <w:lang w:val="en-US"/>
        </w:rPr>
        <w:t xml:space="preserve"> </w:t>
      </w:r>
      <w:r w:rsidR="000401B5">
        <w:rPr>
          <w:rFonts w:ascii="Times New Roman" w:hAnsi="Times New Roman"/>
          <w:sz w:val="24"/>
          <w:szCs w:val="24"/>
          <w:lang w:val="en-US"/>
        </w:rPr>
        <w:t>the level of understanding of the household he</w:t>
      </w:r>
      <w:r w:rsidR="003F701D">
        <w:rPr>
          <w:rFonts w:ascii="Times New Roman" w:hAnsi="Times New Roman"/>
          <w:sz w:val="24"/>
          <w:szCs w:val="24"/>
          <w:lang w:val="en-US"/>
        </w:rPr>
        <w:t>ad is not correlated with</w:t>
      </w:r>
      <w:r w:rsidR="000401B5">
        <w:rPr>
          <w:rFonts w:ascii="Times New Roman" w:hAnsi="Times New Roman"/>
          <w:sz w:val="24"/>
          <w:szCs w:val="24"/>
          <w:lang w:val="en-US"/>
        </w:rPr>
        <w:t xml:space="preserve"> personal characteristics such as schooling, </w:t>
      </w:r>
      <w:r w:rsidR="003F701D">
        <w:rPr>
          <w:rFonts w:ascii="Times New Roman" w:hAnsi="Times New Roman"/>
          <w:sz w:val="24"/>
          <w:szCs w:val="24"/>
          <w:lang w:val="en-US"/>
        </w:rPr>
        <w:t xml:space="preserve">literacy, </w:t>
      </w:r>
      <w:r w:rsidR="000401B5">
        <w:rPr>
          <w:rFonts w:ascii="Times New Roman" w:hAnsi="Times New Roman"/>
          <w:sz w:val="24"/>
          <w:szCs w:val="24"/>
          <w:lang w:val="en-US"/>
        </w:rPr>
        <w:t xml:space="preserve">assets, </w:t>
      </w:r>
      <w:r w:rsidR="003F701D">
        <w:rPr>
          <w:rFonts w:ascii="Times New Roman" w:hAnsi="Times New Roman"/>
          <w:sz w:val="24"/>
          <w:szCs w:val="24"/>
          <w:lang w:val="en-US"/>
        </w:rPr>
        <w:t>income, health awareness, participation in self-help groups, and occurrence of sickness.</w:t>
      </w:r>
      <w:r w:rsidR="001C2FF8">
        <w:rPr>
          <w:rStyle w:val="Appelnotedebasdep"/>
          <w:rFonts w:ascii="Times New Roman" w:hAnsi="Times New Roman"/>
          <w:sz w:val="24"/>
          <w:szCs w:val="24"/>
          <w:lang w:val="en-US"/>
        </w:rPr>
        <w:footnoteReference w:id="16"/>
      </w:r>
      <w:r w:rsidR="001C2FF8">
        <w:rPr>
          <w:rFonts w:ascii="Times New Roman" w:hAnsi="Times New Roman"/>
          <w:sz w:val="24"/>
          <w:szCs w:val="24"/>
          <w:lang w:val="en-US"/>
        </w:rPr>
        <w:t xml:space="preserve"> Note </w:t>
      </w:r>
      <w:r w:rsidR="00882B64">
        <w:rPr>
          <w:rFonts w:ascii="Times New Roman" w:hAnsi="Times New Roman"/>
          <w:sz w:val="24"/>
          <w:szCs w:val="24"/>
          <w:lang w:val="en-US"/>
        </w:rPr>
        <w:t xml:space="preserve">carefully </w:t>
      </w:r>
      <w:r w:rsidR="001C2FF8">
        <w:rPr>
          <w:rFonts w:ascii="Times New Roman" w:hAnsi="Times New Roman"/>
          <w:sz w:val="24"/>
          <w:szCs w:val="24"/>
          <w:lang w:val="en-US"/>
        </w:rPr>
        <w:t xml:space="preserve">that </w:t>
      </w:r>
      <w:r w:rsidR="00882B64">
        <w:rPr>
          <w:rFonts w:ascii="Times New Roman" w:hAnsi="Times New Roman"/>
          <w:sz w:val="24"/>
          <w:szCs w:val="24"/>
          <w:lang w:val="en-US"/>
        </w:rPr>
        <w:t xml:space="preserve">the questions used to measure information and understanding have been raised at the time of the re-survey of the households. The idea was to ensure that respondents ponder over their answers in the light of actual involvement in the SSP program. </w:t>
      </w:r>
    </w:p>
    <w:p w:rsidR="00B71B3E" w:rsidRDefault="009F1C01" w:rsidP="008717A2">
      <w:pPr>
        <w:spacing w:after="240" w:line="360" w:lineRule="auto"/>
        <w:ind w:firstLine="284"/>
        <w:jc w:val="both"/>
        <w:rPr>
          <w:rFonts w:ascii="Times New Roman" w:hAnsi="Times New Roman"/>
          <w:sz w:val="24"/>
          <w:szCs w:val="24"/>
          <w:lang w:val="en-US"/>
        </w:rPr>
      </w:pPr>
      <w:r>
        <w:rPr>
          <w:rFonts w:ascii="Times New Roman" w:hAnsi="Times New Roman"/>
          <w:sz w:val="24"/>
          <w:szCs w:val="24"/>
          <w:lang w:val="en-US"/>
        </w:rPr>
        <w:t>Our third key variable</w:t>
      </w:r>
      <w:r w:rsidR="001E11E6">
        <w:rPr>
          <w:rFonts w:ascii="Times New Roman" w:hAnsi="Times New Roman"/>
          <w:sz w:val="24"/>
          <w:szCs w:val="24"/>
          <w:lang w:val="en-US"/>
        </w:rPr>
        <w:t>,</w:t>
      </w:r>
      <w:r>
        <w:rPr>
          <w:rFonts w:ascii="Times New Roman" w:hAnsi="Times New Roman"/>
          <w:sz w:val="24"/>
          <w:szCs w:val="24"/>
          <w:lang w:val="en-US"/>
        </w:rPr>
        <w:t xml:space="preserve"> </w:t>
      </w:r>
      <w:r w:rsidR="001E11E6">
        <w:rPr>
          <w:rFonts w:ascii="Times New Roman" w:hAnsi="Times New Roman"/>
          <w:sz w:val="24"/>
          <w:szCs w:val="24"/>
          <w:lang w:val="en-US"/>
        </w:rPr>
        <w:t>t</w:t>
      </w:r>
      <w:r w:rsidR="001E11E6" w:rsidRPr="008717A2">
        <w:rPr>
          <w:rFonts w:ascii="Times New Roman" w:hAnsi="Times New Roman"/>
          <w:sz w:val="24"/>
          <w:szCs w:val="24"/>
          <w:lang w:val="en-US"/>
        </w:rPr>
        <w:t>he net insurance payout</w:t>
      </w:r>
      <w:r w:rsidR="001E11E6">
        <w:rPr>
          <w:rFonts w:ascii="Times New Roman" w:hAnsi="Times New Roman"/>
          <w:sz w:val="24"/>
          <w:szCs w:val="24"/>
          <w:lang w:val="en-US"/>
        </w:rPr>
        <w:t xml:space="preserve">, </w:t>
      </w:r>
      <w:r>
        <w:rPr>
          <w:rFonts w:ascii="Times New Roman" w:hAnsi="Times New Roman"/>
          <w:sz w:val="24"/>
          <w:szCs w:val="24"/>
          <w:lang w:val="en-US"/>
        </w:rPr>
        <w:t xml:space="preserve">is also </w:t>
      </w:r>
      <w:r w:rsidR="001E11E6">
        <w:rPr>
          <w:rFonts w:ascii="Times New Roman" w:hAnsi="Times New Roman"/>
          <w:sz w:val="24"/>
          <w:szCs w:val="24"/>
          <w:lang w:val="en-US"/>
        </w:rPr>
        <w:t>constructed on the basis of data</w:t>
      </w:r>
      <w:r>
        <w:rPr>
          <w:rFonts w:ascii="Times New Roman" w:hAnsi="Times New Roman"/>
          <w:sz w:val="24"/>
          <w:szCs w:val="24"/>
          <w:lang w:val="en-US"/>
        </w:rPr>
        <w:t xml:space="preserve"> collect</w:t>
      </w:r>
      <w:r w:rsidR="001E11E6">
        <w:rPr>
          <w:rFonts w:ascii="Times New Roman" w:hAnsi="Times New Roman"/>
          <w:sz w:val="24"/>
          <w:szCs w:val="24"/>
          <w:lang w:val="en-US"/>
        </w:rPr>
        <w:t>ed at the time of the re-survey, since</w:t>
      </w:r>
      <w:r w:rsidR="008717A2">
        <w:rPr>
          <w:rFonts w:ascii="Times New Roman" w:hAnsi="Times New Roman"/>
          <w:sz w:val="24"/>
          <w:szCs w:val="24"/>
          <w:lang w:val="en-US"/>
        </w:rPr>
        <w:t xml:space="preserve"> </w:t>
      </w:r>
      <w:r w:rsidR="001E11E6">
        <w:rPr>
          <w:rFonts w:ascii="Times New Roman" w:hAnsi="Times New Roman"/>
          <w:sz w:val="24"/>
          <w:szCs w:val="24"/>
          <w:lang w:val="en-US"/>
        </w:rPr>
        <w:t xml:space="preserve">it </w:t>
      </w:r>
      <w:r w:rsidR="00B71B3E" w:rsidRPr="008717A2">
        <w:rPr>
          <w:rFonts w:ascii="Times New Roman" w:hAnsi="Times New Roman"/>
          <w:sz w:val="24"/>
          <w:szCs w:val="24"/>
          <w:lang w:val="en-US"/>
        </w:rPr>
        <w:t xml:space="preserve">is calculated </w:t>
      </w:r>
      <w:r w:rsidR="001E11E6">
        <w:rPr>
          <w:rFonts w:ascii="Times New Roman" w:hAnsi="Times New Roman"/>
          <w:sz w:val="24"/>
          <w:szCs w:val="24"/>
          <w:lang w:val="en-US"/>
        </w:rPr>
        <w:t>by using</w:t>
      </w:r>
      <w:r w:rsidR="001E11E6" w:rsidRPr="008717A2">
        <w:rPr>
          <w:rFonts w:ascii="Times New Roman" w:hAnsi="Times New Roman"/>
          <w:sz w:val="24"/>
          <w:szCs w:val="24"/>
          <w:lang w:val="en-US"/>
        </w:rPr>
        <w:t xml:space="preserve"> the 2010-2011 period </w:t>
      </w:r>
      <w:r w:rsidR="001E11E6">
        <w:rPr>
          <w:rFonts w:ascii="Times New Roman" w:hAnsi="Times New Roman"/>
          <w:sz w:val="24"/>
          <w:szCs w:val="24"/>
          <w:lang w:val="en-US"/>
        </w:rPr>
        <w:t>as reference. To derive it, we have subtracted</w:t>
      </w:r>
      <w:r w:rsidR="00B71B3E" w:rsidRPr="008717A2">
        <w:rPr>
          <w:rFonts w:ascii="Times New Roman" w:hAnsi="Times New Roman"/>
          <w:sz w:val="24"/>
          <w:szCs w:val="24"/>
          <w:lang w:val="en-US"/>
        </w:rPr>
        <w:t xml:space="preserve"> the premium from the cost-savings realized in health expenditures as a result of the discounts provided by the insurance scheme.</w:t>
      </w:r>
      <w:r w:rsidR="00DE528B">
        <w:rPr>
          <w:rStyle w:val="Appelnotedebasdep"/>
          <w:rFonts w:ascii="Times New Roman" w:hAnsi="Times New Roman"/>
          <w:sz w:val="24"/>
          <w:szCs w:val="24"/>
          <w:lang w:val="en-US"/>
        </w:rPr>
        <w:footnoteReference w:id="17"/>
      </w:r>
      <w:r w:rsidR="00B71B3E" w:rsidRPr="008717A2">
        <w:rPr>
          <w:rFonts w:ascii="Times New Roman" w:hAnsi="Times New Roman"/>
          <w:sz w:val="24"/>
          <w:szCs w:val="24"/>
          <w:lang w:val="en-US"/>
        </w:rPr>
        <w:t xml:space="preserve"> For almost 86% of the subscriber households in our sample, the net insurance payout has been negative during the 2010-2011 period. The mean value of the net payout is -227 Rs while the median value is -450 Rs. (The gross payout is 1,227 Rs, on an average, for those households which actually used the insurance services, while the median value is 660 Rs). When we ask the subscriber households whether they perceive that their net payout has been positive or </w:t>
      </w:r>
      <w:r w:rsidR="00B71B3E" w:rsidRPr="008717A2">
        <w:rPr>
          <w:rFonts w:ascii="Times New Roman" w:hAnsi="Times New Roman"/>
          <w:sz w:val="24"/>
          <w:szCs w:val="24"/>
          <w:lang w:val="en-US"/>
        </w:rPr>
        <w:lastRenderedPageBreak/>
        <w:t>negative, we find that 85% of them believe that they have incurred a loss from participating in the insurance scheme. Comparing perceptions with actual facts gives an idea about the degree of distortion of these perceptions. The outcome of such a comparison is presented in Table 3.</w:t>
      </w:r>
    </w:p>
    <w:p w:rsidR="00C431F8" w:rsidRDefault="00C431F8" w:rsidP="00C431F8">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It is apparent that the great majority of subscribers (86.6%) have a correct perception about the sign of the net insurance payout. The remaining 13.4% are either too optimistic (they think that the net insurance payout has been positive while it has been actually negative) or too pessimistic (in the converse case). The degree of distortion in the subscribers’ perception is therefore quite low, much smaller than we could have expected given the complexity of the calculations involved (recording the discounts and adding them up). This remarkable ability to estimate costs and benefits from the health insurance program singularly contrasts with the widespread lack of understanding of the functioning mechanism of insurance and its implications.</w:t>
      </w:r>
    </w:p>
    <w:p w:rsidR="00B71B3E" w:rsidRPr="00C431F8" w:rsidRDefault="00B71B3E" w:rsidP="00C431F8">
      <w:pPr>
        <w:spacing w:after="240" w:line="240" w:lineRule="auto"/>
        <w:ind w:firstLine="425"/>
        <w:jc w:val="center"/>
        <w:rPr>
          <w:rFonts w:ascii="Times New Roman" w:hAnsi="Times New Roman"/>
          <w:sz w:val="24"/>
          <w:szCs w:val="24"/>
          <w:lang w:val="en-US"/>
        </w:rPr>
      </w:pPr>
      <w:r w:rsidRPr="00E9572B">
        <w:rPr>
          <w:rFonts w:ascii="Times New Roman" w:hAnsi="Times New Roman"/>
          <w:i/>
          <w:sz w:val="24"/>
          <w:szCs w:val="24"/>
          <w:lang w:val="en-US"/>
        </w:rPr>
        <w:t>Table 3: Comparison between perceptions and facts regarding the sign of the net insurance payout (sample subscribers)</w:t>
      </w:r>
    </w:p>
    <w:p w:rsidR="00B71B3E" w:rsidRPr="00E9572B" w:rsidRDefault="00B71B3E" w:rsidP="00B71B3E">
      <w:pPr>
        <w:keepNext/>
        <w:keepLines/>
        <w:spacing w:after="240" w:line="240" w:lineRule="auto"/>
        <w:ind w:firstLine="425"/>
        <w:jc w:val="center"/>
        <w:rPr>
          <w:rFonts w:ascii="Times New Roman" w:hAnsi="Times New Roman"/>
          <w:i/>
          <w:sz w:val="24"/>
          <w:szCs w:val="24"/>
          <w:lang w:val="en-US"/>
        </w:rPr>
      </w:pPr>
      <w:r w:rsidRPr="00E87F80">
        <w:rPr>
          <w:rFonts w:ascii="Times New Roman" w:hAnsi="Times New Roman"/>
          <w:i/>
          <w:sz w:val="24"/>
          <w:szCs w:val="24"/>
          <w:lang w:val="en-US"/>
        </w:rPr>
        <w:object w:dxaOrig="8212" w:dyaOrig="2347">
          <v:shape id="_x0000_i1028" type="#_x0000_t75" style="width:389.65pt;height:114.35pt" o:ole="">
            <v:imagedata r:id="rId15" o:title=""/>
          </v:shape>
          <o:OLEObject Type="Embed" ProgID="Excel.Sheet.12" ShapeID="_x0000_i1028" DrawAspect="Content" ObjectID="_1431905100" r:id="rId16"/>
        </w:object>
      </w:r>
    </w:p>
    <w:p w:rsidR="00F160AA" w:rsidRDefault="000410D3" w:rsidP="00644F46">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T</w:t>
      </w:r>
      <w:r w:rsidR="00B71B3E">
        <w:rPr>
          <w:rFonts w:ascii="Times New Roman" w:hAnsi="Times New Roman"/>
          <w:sz w:val="24"/>
          <w:szCs w:val="24"/>
          <w:lang w:val="en-US"/>
        </w:rPr>
        <w:t xml:space="preserve">he fact that so many subscribers incurred a net loss over the first year of the program begs an explanation, especially so because we know that more than 90% of them have had a health shock during that year. The clue behind this puzzle lies in a low use of the insurance by many subscribers. It is thus noticeable that, out of 278 households which suffered some health problem during the period 2010-2011, as many as 216 households (77%) did not actually make use of their insurance! In other words, the net insurance payout reaches its maximum negative value not only for the few households which did not need to call for health services but also for those numerous households which needed the insurance but could not take advantage of it. </w:t>
      </w:r>
    </w:p>
    <w:p w:rsidR="00B71B3E" w:rsidRPr="00D95DBD" w:rsidRDefault="00954ECF" w:rsidP="007C0CD3">
      <w:pPr>
        <w:spacing w:after="240" w:line="360" w:lineRule="auto"/>
        <w:ind w:firstLine="426"/>
        <w:jc w:val="both"/>
        <w:rPr>
          <w:rFonts w:ascii="Times New Roman" w:hAnsi="Times New Roman"/>
          <w:i/>
          <w:sz w:val="24"/>
          <w:szCs w:val="24"/>
          <w:lang w:val="en-US"/>
        </w:rPr>
      </w:pPr>
      <w:r w:rsidRPr="00D95DBD">
        <w:rPr>
          <w:rFonts w:ascii="Times New Roman" w:hAnsi="Times New Roman"/>
          <w:b/>
          <w:i/>
          <w:smallCaps/>
          <w:sz w:val="24"/>
          <w:szCs w:val="24"/>
          <w:lang w:val="en-US"/>
        </w:rPr>
        <w:t>3.3</w:t>
      </w:r>
      <w:r w:rsidRPr="00D95DBD">
        <w:rPr>
          <w:rFonts w:ascii="Times New Roman" w:hAnsi="Times New Roman"/>
          <w:b/>
          <w:i/>
          <w:smallCaps/>
          <w:sz w:val="24"/>
          <w:szCs w:val="24"/>
          <w:lang w:val="en-US"/>
        </w:rPr>
        <w:tab/>
        <w:t>A</w:t>
      </w:r>
      <w:r w:rsidRPr="00D95DBD">
        <w:rPr>
          <w:rFonts w:ascii="Times New Roman" w:hAnsi="Times New Roman"/>
          <w:b/>
          <w:i/>
          <w:sz w:val="24"/>
          <w:szCs w:val="24"/>
          <w:lang w:val="en-US"/>
        </w:rPr>
        <w:t xml:space="preserve">dditional key descriptive statistics </w:t>
      </w:r>
    </w:p>
    <w:p w:rsidR="00B71B3E" w:rsidRDefault="00B71B3E" w:rsidP="007C0CD3">
      <w:pPr>
        <w:spacing w:after="240" w:line="360" w:lineRule="auto"/>
        <w:ind w:firstLine="425"/>
        <w:jc w:val="both"/>
        <w:rPr>
          <w:rFonts w:ascii="Times New Roman" w:hAnsi="Times New Roman"/>
          <w:sz w:val="24"/>
          <w:szCs w:val="24"/>
          <w:lang w:val="en-US"/>
        </w:rPr>
      </w:pPr>
      <w:r>
        <w:rPr>
          <w:rFonts w:ascii="Times New Roman" w:hAnsi="Times New Roman"/>
          <w:sz w:val="24"/>
          <w:szCs w:val="24"/>
          <w:lang w:val="en-US"/>
        </w:rPr>
        <w:lastRenderedPageBreak/>
        <w:t xml:space="preserve"> The main factor behind the low rate of use of insurance is poor information. Thus, we find that, among the subscribers who did not use the insurance services while being sick, the fraction of those ignoring the discounts offered by the SSP program was considerably higher (90%) than among the subscribers who did use their insurance (42%). Albeit somewhat less marked, the contrast is also observed when we compare the proportions of subscribers who ignored that discounts are only provided in a limited number of health facilities: 70% for those who did not use their insurance as against 53% for those who did use it. </w:t>
      </w:r>
    </w:p>
    <w:p w:rsidR="00B71B3E" w:rsidRDefault="007820FB"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A</w:t>
      </w:r>
      <w:r w:rsidR="00B71B3E">
        <w:rPr>
          <w:rFonts w:ascii="Times New Roman" w:hAnsi="Times New Roman"/>
          <w:sz w:val="24"/>
          <w:szCs w:val="24"/>
          <w:lang w:val="en-US"/>
        </w:rPr>
        <w:t xml:space="preserve"> large majority (74%) of the subscriber households expressed disappointment or strong disappointment with the SSP program (their number being equally shared among those disappointed and those strongly disappointed). By contrast, only 6% were very satisfied while the remaining 20% were sa</w:t>
      </w:r>
      <w:r>
        <w:rPr>
          <w:rFonts w:ascii="Times New Roman" w:hAnsi="Times New Roman"/>
          <w:sz w:val="24"/>
          <w:szCs w:val="24"/>
          <w:lang w:val="en-US"/>
        </w:rPr>
        <w:t>tisfied. Interestingly,</w:t>
      </w:r>
      <w:r w:rsidR="00B71B3E">
        <w:rPr>
          <w:rFonts w:ascii="Times New Roman" w:hAnsi="Times New Roman"/>
          <w:sz w:val="24"/>
          <w:szCs w:val="24"/>
          <w:lang w:val="en-US"/>
        </w:rPr>
        <w:t xml:space="preserve"> 56% of satisfied (or very satisfied) households chose to renew their contract compared to only 25% for the disappointed (or very disappointed</w:t>
      </w:r>
      <w:r w:rsidR="000F7C45">
        <w:rPr>
          <w:rFonts w:ascii="Times New Roman" w:hAnsi="Times New Roman"/>
          <w:sz w:val="24"/>
          <w:szCs w:val="24"/>
          <w:lang w:val="en-US"/>
        </w:rPr>
        <w:t>) households. There is thus</w:t>
      </w:r>
      <w:r w:rsidR="00B71B3E">
        <w:rPr>
          <w:rFonts w:ascii="Times New Roman" w:hAnsi="Times New Roman"/>
          <w:sz w:val="24"/>
          <w:szCs w:val="24"/>
          <w:lang w:val="en-US"/>
        </w:rPr>
        <w:t xml:space="preserve"> a strong yet far from perfect correlation between satisfaction and the contr</w:t>
      </w:r>
      <w:r w:rsidR="00506E41">
        <w:rPr>
          <w:rFonts w:ascii="Times New Roman" w:hAnsi="Times New Roman"/>
          <w:sz w:val="24"/>
          <w:szCs w:val="24"/>
          <w:lang w:val="en-US"/>
        </w:rPr>
        <w:t>act renewal decision. On the other hand, 61% of the households which</w:t>
      </w:r>
      <w:r w:rsidR="00B71B3E">
        <w:rPr>
          <w:rFonts w:ascii="Times New Roman" w:hAnsi="Times New Roman"/>
          <w:sz w:val="24"/>
          <w:szCs w:val="24"/>
          <w:lang w:val="en-US"/>
        </w:rPr>
        <w:t xml:space="preserve"> actually use</w:t>
      </w:r>
      <w:r w:rsidR="00506E41">
        <w:rPr>
          <w:rFonts w:ascii="Times New Roman" w:hAnsi="Times New Roman"/>
          <w:sz w:val="24"/>
          <w:szCs w:val="24"/>
          <w:lang w:val="en-US"/>
        </w:rPr>
        <w:t>d</w:t>
      </w:r>
      <w:r w:rsidR="00B71B3E">
        <w:rPr>
          <w:rFonts w:ascii="Times New Roman" w:hAnsi="Times New Roman"/>
          <w:sz w:val="24"/>
          <w:szCs w:val="24"/>
          <w:lang w:val="en-US"/>
        </w:rPr>
        <w:t xml:space="preserve"> their ins</w:t>
      </w:r>
      <w:r w:rsidR="00506E41">
        <w:rPr>
          <w:rFonts w:ascii="Times New Roman" w:hAnsi="Times New Roman"/>
          <w:sz w:val="24"/>
          <w:szCs w:val="24"/>
          <w:lang w:val="en-US"/>
        </w:rPr>
        <w:t>urance</w:t>
      </w:r>
      <w:r w:rsidR="00B71B3E">
        <w:rPr>
          <w:rFonts w:ascii="Times New Roman" w:hAnsi="Times New Roman"/>
          <w:sz w:val="24"/>
          <w:szCs w:val="24"/>
          <w:lang w:val="en-US"/>
        </w:rPr>
        <w:t xml:space="preserve"> expressed satisfaction (or great satisfa</w:t>
      </w:r>
      <w:r w:rsidR="00506E41">
        <w:rPr>
          <w:rFonts w:ascii="Times New Roman" w:hAnsi="Times New Roman"/>
          <w:sz w:val="24"/>
          <w:szCs w:val="24"/>
          <w:lang w:val="en-US"/>
        </w:rPr>
        <w:t>ction) as against</w:t>
      </w:r>
      <w:r w:rsidR="00B71B3E">
        <w:rPr>
          <w:rFonts w:ascii="Times New Roman" w:hAnsi="Times New Roman"/>
          <w:sz w:val="24"/>
          <w:szCs w:val="24"/>
          <w:lang w:val="en-US"/>
        </w:rPr>
        <w:t xml:space="preserve"> 16</w:t>
      </w:r>
      <w:r w:rsidR="00506E41">
        <w:rPr>
          <w:rFonts w:ascii="Times New Roman" w:hAnsi="Times New Roman"/>
          <w:sz w:val="24"/>
          <w:szCs w:val="24"/>
          <w:lang w:val="en-US"/>
        </w:rPr>
        <w:t>% only for those which did not</w:t>
      </w:r>
      <w:r w:rsidR="00B71B3E">
        <w:rPr>
          <w:rFonts w:ascii="Times New Roman" w:hAnsi="Times New Roman"/>
          <w:sz w:val="24"/>
          <w:szCs w:val="24"/>
          <w:lang w:val="en-US"/>
        </w:rPr>
        <w:t>. Again, the contrast is marked but actual use does not fully explain satisfaction about the insurance scheme.</w:t>
      </w:r>
    </w:p>
    <w:p w:rsidR="00B71B3E" w:rsidRDefault="007C0CD3"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Our data moreover</w:t>
      </w:r>
      <w:r w:rsidR="00B71B3E">
        <w:rPr>
          <w:rFonts w:ascii="Times New Roman" w:hAnsi="Times New Roman"/>
          <w:sz w:val="24"/>
          <w:szCs w:val="24"/>
          <w:lang w:val="en-US"/>
        </w:rPr>
        <w:t xml:space="preserve"> show that the quality of the services covered by the insurance, a</w:t>
      </w:r>
      <w:r w:rsidR="00AD007B">
        <w:rPr>
          <w:rFonts w:ascii="Times New Roman" w:hAnsi="Times New Roman"/>
          <w:sz w:val="24"/>
          <w:szCs w:val="24"/>
          <w:lang w:val="en-US"/>
        </w:rPr>
        <w:t xml:space="preserve">s well as </w:t>
      </w:r>
      <w:r w:rsidR="00B71B3E">
        <w:rPr>
          <w:rFonts w:ascii="Times New Roman" w:hAnsi="Times New Roman"/>
          <w:sz w:val="24"/>
          <w:szCs w:val="24"/>
          <w:lang w:val="en-US"/>
        </w:rPr>
        <w:t>the claiming and contract renewal procedures</w:t>
      </w:r>
      <w:r w:rsidR="00AD007B">
        <w:rPr>
          <w:rFonts w:ascii="Times New Roman" w:hAnsi="Times New Roman"/>
          <w:sz w:val="24"/>
          <w:szCs w:val="24"/>
          <w:lang w:val="en-US"/>
        </w:rPr>
        <w:t>,</w:t>
      </w:r>
      <w:r w:rsidR="00B71B3E">
        <w:rPr>
          <w:rFonts w:ascii="Times New Roman" w:hAnsi="Times New Roman"/>
          <w:sz w:val="24"/>
          <w:szCs w:val="24"/>
          <w:lang w:val="en-US"/>
        </w:rPr>
        <w:t xml:space="preserve"> are</w:t>
      </w:r>
      <w:r w:rsidR="00AD007B">
        <w:rPr>
          <w:rFonts w:ascii="Times New Roman" w:hAnsi="Times New Roman"/>
          <w:sz w:val="24"/>
          <w:szCs w:val="24"/>
          <w:lang w:val="en-US"/>
        </w:rPr>
        <w:t xml:space="preserve"> quite satisfactory so that they may not explain the low contract renewal rate in the SSP</w:t>
      </w:r>
      <w:r w:rsidR="00B71B3E">
        <w:rPr>
          <w:rFonts w:ascii="Times New Roman" w:hAnsi="Times New Roman"/>
          <w:sz w:val="24"/>
          <w:szCs w:val="24"/>
          <w:lang w:val="en-US"/>
        </w:rPr>
        <w:t xml:space="preserve"> program. As a matter of fact, nine-tenths of the households which did use their insurance considered it useful and rather easy to handle. Moreover, among the households which perceived a negative return from the program, only 21% deemed the premium expensive and hard to finance. When queried about the rationale behind their decision not to renew their insurance contract, the majority of the households concerned mentioned either a lack of information about how and where to use the insurance and how to renew it (33%+15%), or the absence of benefits and the lack of need for an insurance given the non-occurrence of illness problems (28%+15%). Barely 9% of the households mentioned the level of the premium and less than ½% the low quality of the services covered.</w:t>
      </w:r>
    </w:p>
    <w:p w:rsidR="00065AC9" w:rsidRDefault="00065AC9" w:rsidP="00DA0044">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Revealingly, not a singl</w:t>
      </w:r>
      <w:r w:rsidR="00BB2309">
        <w:rPr>
          <w:rFonts w:ascii="Times New Roman" w:hAnsi="Times New Roman"/>
          <w:sz w:val="24"/>
          <w:szCs w:val="24"/>
          <w:lang w:val="en-US"/>
        </w:rPr>
        <w:t>e head complained about the risk premium being</w:t>
      </w:r>
      <w:r>
        <w:rPr>
          <w:rFonts w:ascii="Times New Roman" w:hAnsi="Times New Roman"/>
          <w:sz w:val="24"/>
          <w:szCs w:val="24"/>
          <w:lang w:val="en-US"/>
        </w:rPr>
        <w:t xml:space="preserve"> too high owing to the presence of opportunists, even among the subsample of relatively health-conscious </w:t>
      </w:r>
      <w:r>
        <w:rPr>
          <w:rFonts w:ascii="Times New Roman" w:hAnsi="Times New Roman"/>
          <w:sz w:val="24"/>
          <w:szCs w:val="24"/>
          <w:lang w:val="en-US"/>
        </w:rPr>
        <w:lastRenderedPageBreak/>
        <w:t xml:space="preserve">households. In point of fact, the problem of moral hazard has never been alluded to in our interviews with the subscriber households. This is not really surprising inasmuch as they do not seem to imagine that incentive problems (whether of the adverse selection or the moral hazard kinds) are taken into account by the insurance company while setting the level of the insurance premium. We can therefore rule out the </w:t>
      </w:r>
      <w:r w:rsidR="00BB2309">
        <w:rPr>
          <w:rFonts w:ascii="Times New Roman" w:hAnsi="Times New Roman"/>
          <w:sz w:val="24"/>
          <w:szCs w:val="24"/>
          <w:lang w:val="en-US"/>
        </w:rPr>
        <w:t xml:space="preserve">possibility that either the low quality of the health delivery services or problems of moral hazard arising from negligence or strategic manipulation account for low contract renewal among the sample subscriber population. </w:t>
      </w:r>
    </w:p>
    <w:p w:rsidR="00B71B3E" w:rsidRDefault="00B87A3B" w:rsidP="00780D57">
      <w:pPr>
        <w:spacing w:after="240" w:line="360" w:lineRule="auto"/>
        <w:ind w:firstLine="426"/>
        <w:jc w:val="both"/>
        <w:rPr>
          <w:rFonts w:ascii="Times New Roman" w:hAnsi="Times New Roman"/>
          <w:noProof/>
          <w:sz w:val="24"/>
          <w:szCs w:val="24"/>
          <w:lang w:val="en-US" w:eastAsia="fr-BE"/>
        </w:rPr>
      </w:pPr>
      <w:r>
        <w:rPr>
          <w:rFonts w:ascii="Times New Roman" w:hAnsi="Times New Roman"/>
          <w:sz w:val="24"/>
          <w:szCs w:val="24"/>
          <w:lang w:val="en-US"/>
        </w:rPr>
        <w:t>Returning to our key variables</w:t>
      </w:r>
      <w:r w:rsidR="00967391">
        <w:rPr>
          <w:rFonts w:ascii="Times New Roman" w:hAnsi="Times New Roman"/>
          <w:sz w:val="24"/>
          <w:szCs w:val="24"/>
          <w:lang w:val="en-US"/>
        </w:rPr>
        <w:t xml:space="preserve">, </w:t>
      </w:r>
      <w:r>
        <w:rPr>
          <w:rFonts w:ascii="Times New Roman" w:hAnsi="Times New Roman"/>
          <w:sz w:val="24"/>
          <w:szCs w:val="24"/>
          <w:lang w:val="en-US"/>
        </w:rPr>
        <w:t>first</w:t>
      </w:r>
      <w:r w:rsidR="00967391">
        <w:rPr>
          <w:rFonts w:ascii="Times New Roman" w:hAnsi="Times New Roman"/>
          <w:sz w:val="24"/>
          <w:szCs w:val="24"/>
          <w:lang w:val="en-US"/>
        </w:rPr>
        <w:t xml:space="preserve"> note the presence of</w:t>
      </w:r>
      <w:r w:rsidR="00B71B3E">
        <w:rPr>
          <w:rFonts w:ascii="Times New Roman" w:hAnsi="Times New Roman"/>
          <w:sz w:val="24"/>
          <w:szCs w:val="24"/>
          <w:lang w:val="en-US"/>
        </w:rPr>
        <w:t xml:space="preserve"> a </w:t>
      </w:r>
      <w:r w:rsidR="00F25986">
        <w:rPr>
          <w:rFonts w:ascii="Times New Roman" w:hAnsi="Times New Roman"/>
          <w:sz w:val="24"/>
          <w:szCs w:val="24"/>
          <w:lang w:val="en-US"/>
        </w:rPr>
        <w:t xml:space="preserve">significant </w:t>
      </w:r>
      <w:r w:rsidR="00B71B3E">
        <w:rPr>
          <w:rFonts w:ascii="Times New Roman" w:hAnsi="Times New Roman"/>
          <w:sz w:val="24"/>
          <w:szCs w:val="24"/>
          <w:lang w:val="en-US"/>
        </w:rPr>
        <w:t>c</w:t>
      </w:r>
      <w:r w:rsidR="00967391">
        <w:rPr>
          <w:rFonts w:ascii="Times New Roman" w:hAnsi="Times New Roman"/>
          <w:sz w:val="24"/>
          <w:szCs w:val="24"/>
          <w:lang w:val="en-US"/>
        </w:rPr>
        <w:t>orrelation between understanding</w:t>
      </w:r>
      <w:r w:rsidR="00B71B3E">
        <w:rPr>
          <w:rFonts w:ascii="Times New Roman" w:hAnsi="Times New Roman"/>
          <w:sz w:val="24"/>
          <w:szCs w:val="24"/>
          <w:lang w:val="en-US"/>
        </w:rPr>
        <w:t xml:space="preserve"> and the renewal decision</w:t>
      </w:r>
      <w:r w:rsidR="00967391">
        <w:rPr>
          <w:rFonts w:ascii="Times New Roman" w:hAnsi="Times New Roman"/>
          <w:sz w:val="24"/>
          <w:szCs w:val="24"/>
          <w:lang w:val="en-US"/>
        </w:rPr>
        <w:t xml:space="preserve">, whichever is the question considered to measure the level of understanding. The correlation is especially strong when the second question is </w:t>
      </w:r>
      <w:r w:rsidR="00780D57">
        <w:rPr>
          <w:rFonts w:ascii="Times New Roman" w:hAnsi="Times New Roman"/>
          <w:sz w:val="24"/>
          <w:szCs w:val="24"/>
          <w:lang w:val="en-US"/>
        </w:rPr>
        <w:t>considered:</w:t>
      </w:r>
      <w:r w:rsidR="00B71B3E">
        <w:rPr>
          <w:rFonts w:ascii="Times New Roman" w:hAnsi="Times New Roman"/>
          <w:noProof/>
          <w:sz w:val="24"/>
          <w:szCs w:val="24"/>
          <w:lang w:val="en-US" w:eastAsia="fr-BE"/>
        </w:rPr>
        <w:t xml:space="preserve"> 78% of the households which dropped out (as against 50% of the households which did not) consider</w:t>
      </w:r>
      <w:r w:rsidR="00B71B3E">
        <w:rPr>
          <w:rFonts w:ascii="Times New Roman" w:hAnsi="Times New Roman"/>
          <w:sz w:val="24"/>
          <w:szCs w:val="24"/>
          <w:lang w:val="en-US"/>
        </w:rPr>
        <w:t xml:space="preserve"> it unfair to have paid the premiu</w:t>
      </w:r>
      <w:r w:rsidR="00780D57">
        <w:rPr>
          <w:rFonts w:ascii="Times New Roman" w:hAnsi="Times New Roman"/>
          <w:sz w:val="24"/>
          <w:szCs w:val="24"/>
          <w:lang w:val="en-US"/>
        </w:rPr>
        <w:t>m while they did not fall sick. Likewise, there is a statistically significant relationship between contract renewal behavior and the answers given to each of the questions used to measure the level of</w:t>
      </w:r>
      <w:r w:rsidR="00C036E0">
        <w:rPr>
          <w:rFonts w:ascii="Times New Roman" w:hAnsi="Times New Roman"/>
          <w:sz w:val="24"/>
          <w:szCs w:val="24"/>
          <w:lang w:val="en-US"/>
        </w:rPr>
        <w:t xml:space="preserve"> information.</w:t>
      </w:r>
      <w:r w:rsidR="00C036E0">
        <w:rPr>
          <w:rStyle w:val="Appelnotedebasdep"/>
          <w:rFonts w:ascii="Times New Roman" w:hAnsi="Times New Roman"/>
          <w:sz w:val="24"/>
          <w:szCs w:val="24"/>
          <w:lang w:val="en-US"/>
        </w:rPr>
        <w:footnoteReference w:id="18"/>
      </w:r>
      <w:r>
        <w:rPr>
          <w:rFonts w:ascii="Times New Roman" w:hAnsi="Times New Roman"/>
          <w:sz w:val="24"/>
          <w:szCs w:val="24"/>
          <w:lang w:val="en-US"/>
        </w:rPr>
        <w:t xml:space="preserve"> </w:t>
      </w:r>
    </w:p>
    <w:p w:rsidR="002E4B89" w:rsidRDefault="00780D57" w:rsidP="00684B63">
      <w:pPr>
        <w:spacing w:after="240" w:line="360" w:lineRule="auto"/>
        <w:ind w:firstLine="426"/>
        <w:jc w:val="both"/>
        <w:rPr>
          <w:rFonts w:ascii="Times New Roman" w:hAnsi="Times New Roman"/>
          <w:noProof/>
          <w:sz w:val="24"/>
          <w:szCs w:val="24"/>
          <w:lang w:val="en-US" w:eastAsia="fr-BE"/>
        </w:rPr>
      </w:pPr>
      <w:r>
        <w:rPr>
          <w:rFonts w:ascii="Times New Roman" w:hAnsi="Times New Roman"/>
          <w:noProof/>
          <w:sz w:val="24"/>
          <w:szCs w:val="24"/>
          <w:lang w:val="en-US" w:eastAsia="fr-BE"/>
        </w:rPr>
        <w:t xml:space="preserve">Before embarking </w:t>
      </w:r>
      <w:r w:rsidR="00684B63">
        <w:rPr>
          <w:rFonts w:ascii="Times New Roman" w:hAnsi="Times New Roman"/>
          <w:noProof/>
          <w:sz w:val="24"/>
          <w:szCs w:val="24"/>
          <w:lang w:val="en-US" w:eastAsia="fr-BE"/>
        </w:rPr>
        <w:t>upon the econometric analysis, it is worth pointing out that</w:t>
      </w:r>
      <w:r w:rsidR="00B71B3E">
        <w:rPr>
          <w:rFonts w:ascii="Times New Roman" w:hAnsi="Times New Roman"/>
          <w:noProof/>
          <w:sz w:val="24"/>
          <w:szCs w:val="24"/>
          <w:lang w:val="en-US" w:eastAsia="fr-BE"/>
        </w:rPr>
        <w:t xml:space="preserve">, while 71% of the households which renewed their insurance contract had a negative net insurance payout during the period 2010-2011, the proportion is as high as 92% among those which dropped out of the program. The </w:t>
      </w:r>
      <w:r w:rsidR="00B71B3E" w:rsidRPr="003D0F67">
        <w:rPr>
          <w:rFonts w:ascii="Times New Roman" w:hAnsi="Times New Roman"/>
          <w:noProof/>
          <w:sz w:val="24"/>
          <w:szCs w:val="24"/>
          <w:lang w:val="en-US" w:eastAsia="fr-BE"/>
        </w:rPr>
        <w:t>average net insurance payout is +350 Rs for the former but only -509 Rs for the latter.</w:t>
      </w:r>
      <w:r w:rsidR="00684B63">
        <w:rPr>
          <w:rFonts w:ascii="Times New Roman" w:hAnsi="Times New Roman"/>
          <w:noProof/>
          <w:sz w:val="24"/>
          <w:szCs w:val="24"/>
          <w:lang w:val="en-US" w:eastAsia="fr-BE"/>
        </w:rPr>
        <w:t xml:space="preserve"> Finally</w:t>
      </w:r>
      <w:r w:rsidR="007E0189">
        <w:rPr>
          <w:rFonts w:ascii="Times New Roman" w:hAnsi="Times New Roman"/>
          <w:noProof/>
          <w:sz w:val="24"/>
          <w:szCs w:val="24"/>
          <w:lang w:val="en-US" w:eastAsia="fr-BE"/>
        </w:rPr>
        <w:t xml:space="preserve">, </w:t>
      </w:r>
      <w:r w:rsidR="00AC6747">
        <w:rPr>
          <w:rFonts w:ascii="Times New Roman" w:hAnsi="Times New Roman"/>
          <w:noProof/>
          <w:sz w:val="24"/>
          <w:szCs w:val="24"/>
          <w:lang w:val="en-US" w:eastAsia="fr-BE"/>
        </w:rPr>
        <w:t xml:space="preserve">the average value of the insurance premium paid by all the sample subscriber households (582 Rs) </w:t>
      </w:r>
      <w:r w:rsidR="00A561ED">
        <w:rPr>
          <w:rFonts w:ascii="Times New Roman" w:hAnsi="Times New Roman"/>
          <w:noProof/>
          <w:sz w:val="24"/>
          <w:szCs w:val="24"/>
          <w:lang w:val="en-US" w:eastAsia="fr-BE"/>
        </w:rPr>
        <w:t xml:space="preserve">greatly </w:t>
      </w:r>
      <w:r w:rsidR="00AC6747">
        <w:rPr>
          <w:rFonts w:ascii="Times New Roman" w:hAnsi="Times New Roman"/>
          <w:noProof/>
          <w:sz w:val="24"/>
          <w:szCs w:val="24"/>
          <w:lang w:val="en-US" w:eastAsia="fr-BE"/>
        </w:rPr>
        <w:t xml:space="preserve">exceeds </w:t>
      </w:r>
      <w:r w:rsidR="00AC6747" w:rsidRPr="00A561ED">
        <w:rPr>
          <w:rFonts w:ascii="Times New Roman" w:hAnsi="Times New Roman"/>
          <w:noProof/>
          <w:sz w:val="24"/>
          <w:szCs w:val="24"/>
          <w:lang w:val="en-US" w:eastAsia="fr-BE"/>
        </w:rPr>
        <w:t>the average value of t</w:t>
      </w:r>
      <w:r w:rsidR="00A561ED">
        <w:rPr>
          <w:rFonts w:ascii="Times New Roman" w:hAnsi="Times New Roman"/>
          <w:noProof/>
          <w:sz w:val="24"/>
          <w:szCs w:val="24"/>
          <w:lang w:val="en-US" w:eastAsia="fr-BE"/>
        </w:rPr>
        <w:t>he (gross) insurance benefits (352 Rs</w:t>
      </w:r>
      <w:r w:rsidR="00AC6747" w:rsidRPr="00A561ED">
        <w:rPr>
          <w:rFonts w:ascii="Times New Roman" w:hAnsi="Times New Roman"/>
          <w:noProof/>
          <w:sz w:val="24"/>
          <w:szCs w:val="24"/>
          <w:lang w:val="en-US" w:eastAsia="fr-BE"/>
        </w:rPr>
        <w:t>)</w:t>
      </w:r>
      <w:r w:rsidR="00AC6747">
        <w:rPr>
          <w:rFonts w:ascii="Times New Roman" w:hAnsi="Times New Roman"/>
          <w:noProof/>
          <w:sz w:val="24"/>
          <w:szCs w:val="24"/>
          <w:lang w:val="en-US" w:eastAsia="fr-BE"/>
        </w:rPr>
        <w:t>.</w:t>
      </w:r>
      <w:r w:rsidR="00AC6747">
        <w:rPr>
          <w:rStyle w:val="Appelnotedebasdep"/>
          <w:rFonts w:ascii="Times New Roman" w:hAnsi="Times New Roman"/>
          <w:noProof/>
          <w:sz w:val="24"/>
          <w:szCs w:val="24"/>
          <w:lang w:val="en-US" w:eastAsia="fr-BE"/>
        </w:rPr>
        <w:footnoteReference w:id="19"/>
      </w:r>
    </w:p>
    <w:p w:rsidR="001D7E15" w:rsidRDefault="001D7E15" w:rsidP="00D95DBD">
      <w:pPr>
        <w:spacing w:after="240" w:line="360" w:lineRule="auto"/>
        <w:ind w:firstLine="426"/>
        <w:jc w:val="both"/>
        <w:rPr>
          <w:rFonts w:ascii="Times New Roman" w:hAnsi="Times New Roman"/>
          <w:noProof/>
          <w:sz w:val="24"/>
          <w:szCs w:val="24"/>
          <w:lang w:val="en-US" w:eastAsia="fr-BE"/>
        </w:rPr>
      </w:pPr>
    </w:p>
    <w:p w:rsidR="00B71B3E" w:rsidRPr="00CF724F" w:rsidRDefault="002E4B89" w:rsidP="0051736A">
      <w:pPr>
        <w:keepNext/>
        <w:keepLines/>
        <w:spacing w:after="240" w:line="360" w:lineRule="auto"/>
        <w:ind w:left="720"/>
        <w:jc w:val="both"/>
        <w:rPr>
          <w:rFonts w:ascii="Times New Roman" w:hAnsi="Times New Roman"/>
          <w:noProof/>
          <w:sz w:val="24"/>
          <w:szCs w:val="24"/>
          <w:lang w:val="en-US" w:eastAsia="fr-BE"/>
        </w:rPr>
      </w:pPr>
      <w:r>
        <w:rPr>
          <w:rFonts w:ascii="Times New Roman" w:hAnsi="Times New Roman"/>
          <w:b/>
          <w:noProof/>
          <w:sz w:val="28"/>
          <w:szCs w:val="28"/>
          <w:lang w:val="en-US" w:eastAsia="fr-BE"/>
        </w:rPr>
        <w:lastRenderedPageBreak/>
        <w:t>4</w:t>
      </w:r>
      <w:r w:rsidR="00CF724F">
        <w:rPr>
          <w:rFonts w:ascii="Times New Roman" w:hAnsi="Times New Roman"/>
          <w:b/>
          <w:noProof/>
          <w:sz w:val="28"/>
          <w:szCs w:val="28"/>
          <w:lang w:val="en-US" w:eastAsia="fr-BE"/>
        </w:rPr>
        <w:t xml:space="preserve">. </w:t>
      </w:r>
      <w:r w:rsidR="00B71B3E" w:rsidRPr="00916EFC">
        <w:rPr>
          <w:rFonts w:ascii="Times New Roman" w:hAnsi="Times New Roman"/>
          <w:b/>
          <w:noProof/>
          <w:sz w:val="28"/>
          <w:szCs w:val="28"/>
          <w:lang w:val="en-US" w:eastAsia="fr-BE"/>
        </w:rPr>
        <w:t>Econometric Evidence</w:t>
      </w:r>
    </w:p>
    <w:p w:rsidR="007F6A72" w:rsidRPr="00D95DBD" w:rsidRDefault="007F6A72" w:rsidP="0051736A">
      <w:pPr>
        <w:keepNext/>
        <w:keepLines/>
        <w:spacing w:after="240" w:line="360" w:lineRule="auto"/>
        <w:ind w:firstLine="360"/>
        <w:jc w:val="both"/>
        <w:rPr>
          <w:rFonts w:ascii="Times New Roman" w:hAnsi="Times New Roman"/>
          <w:b/>
          <w:i/>
          <w:sz w:val="24"/>
          <w:szCs w:val="24"/>
          <w:lang w:val="en-US"/>
        </w:rPr>
      </w:pPr>
      <w:r w:rsidRPr="00D95DBD">
        <w:rPr>
          <w:rFonts w:ascii="Times New Roman" w:hAnsi="Times New Roman"/>
          <w:b/>
          <w:i/>
          <w:sz w:val="24"/>
          <w:szCs w:val="24"/>
          <w:lang w:val="en-US"/>
        </w:rPr>
        <w:t>4.1</w:t>
      </w:r>
      <w:r w:rsidRPr="00D95DBD">
        <w:rPr>
          <w:rFonts w:ascii="Times New Roman" w:hAnsi="Times New Roman"/>
          <w:b/>
          <w:i/>
          <w:sz w:val="24"/>
          <w:szCs w:val="24"/>
          <w:lang w:val="en-US"/>
        </w:rPr>
        <w:tab/>
        <w:t>Methodology</w:t>
      </w:r>
    </w:p>
    <w:p w:rsidR="00B71B3E" w:rsidRDefault="00B71B3E" w:rsidP="0051736A">
      <w:pPr>
        <w:keepNext/>
        <w:keepLines/>
        <w:spacing w:after="240" w:line="360" w:lineRule="auto"/>
        <w:ind w:firstLine="360"/>
        <w:jc w:val="both"/>
        <w:rPr>
          <w:rFonts w:ascii="Times New Roman" w:hAnsi="Times New Roman"/>
          <w:sz w:val="24"/>
          <w:szCs w:val="24"/>
          <w:lang w:val="en-US"/>
        </w:rPr>
      </w:pPr>
      <w:r>
        <w:rPr>
          <w:rFonts w:ascii="Times New Roman" w:hAnsi="Times New Roman"/>
          <w:sz w:val="24"/>
          <w:szCs w:val="24"/>
          <w:lang w:val="en-US"/>
        </w:rPr>
        <w:t>We now want to check whether the above relationships continue to hold when we use a multivariate framework. Since some of our variables are significantly correlated, it is important to verify that they have a separate influence on the dependent variables. In particular, we want to know (1°) whether the level of understanding of the insurance concept influences contract renewal behavior (and satisfaction) once we control for the level of information about the insurance product, and for the value of the net insurance payout, and (2°) whether the level of understanding helps to mitigate the presumably negative impact of the net insurance payout. To answer the latter question, we will have to test for the impact of the corresponding interaction term.</w:t>
      </w:r>
    </w:p>
    <w:p w:rsidR="00B71B3E" w:rsidRDefault="00B71B3E" w:rsidP="00B71B3E">
      <w:pPr>
        <w:spacing w:after="240" w:line="360" w:lineRule="auto"/>
        <w:ind w:firstLine="426"/>
        <w:jc w:val="both"/>
        <w:rPr>
          <w:rFonts w:ascii="Times New Roman" w:hAnsi="Times New Roman"/>
          <w:color w:val="000000"/>
          <w:sz w:val="24"/>
          <w:szCs w:val="24"/>
          <w:lang w:val="en-US"/>
        </w:rPr>
      </w:pPr>
      <w:r>
        <w:rPr>
          <w:rFonts w:ascii="Times New Roman" w:hAnsi="Times New Roman"/>
          <w:sz w:val="24"/>
          <w:szCs w:val="24"/>
          <w:lang w:val="en-US"/>
        </w:rPr>
        <w:t>In estimating regression equations to explain variations in the actual use of insurance services, satisfaction levels and contract renewal decisions, we use two different econometric models and two different datasets. The first model is a simple linear probability model based on data related to subscriber households only. The second mo</w:t>
      </w:r>
      <w:r w:rsidR="00AC6747">
        <w:rPr>
          <w:rFonts w:ascii="Times New Roman" w:hAnsi="Times New Roman"/>
          <w:sz w:val="24"/>
          <w:szCs w:val="24"/>
          <w:lang w:val="en-US"/>
        </w:rPr>
        <w:t xml:space="preserve">del is a Heckman Probit model </w:t>
      </w:r>
      <w:r>
        <w:rPr>
          <w:rFonts w:ascii="Times New Roman" w:hAnsi="Times New Roman"/>
          <w:sz w:val="24"/>
          <w:szCs w:val="24"/>
          <w:lang w:val="en-US"/>
        </w:rPr>
        <w:t xml:space="preserve">that includes a first-stage selection equation to determine entry into the microinsurance program. It therefore uses the complete sample of households interviewed in the treatment villages, whether subscribers or not. The advantage of estimating this second model is not only that it provides a robustness check for the results obtained with the standard OLS model, but also that it sheds light on the determinants of the subscription decision in addition to those of the renewal decision. </w:t>
      </w:r>
      <w:r w:rsidR="007F4025">
        <w:rPr>
          <w:rFonts w:ascii="Times New Roman" w:hAnsi="Times New Roman"/>
          <w:sz w:val="24"/>
          <w:szCs w:val="24"/>
          <w:lang w:val="en-US"/>
        </w:rPr>
        <w:t xml:space="preserve">The first-stage equation therefore presents an interest in itself. </w:t>
      </w:r>
      <w:r w:rsidRPr="003D0F67">
        <w:rPr>
          <w:rFonts w:ascii="Times New Roman" w:hAnsi="Times New Roman"/>
          <w:color w:val="000000"/>
          <w:sz w:val="24"/>
          <w:szCs w:val="24"/>
          <w:lang w:val="en-US"/>
        </w:rPr>
        <w:t xml:space="preserve">A natural concern is related to the assumption </w:t>
      </w:r>
      <w:r w:rsidR="002000A9">
        <w:rPr>
          <w:rFonts w:ascii="Times New Roman" w:hAnsi="Times New Roman"/>
          <w:color w:val="000000"/>
          <w:sz w:val="24"/>
          <w:szCs w:val="24"/>
          <w:lang w:val="en-US"/>
        </w:rPr>
        <w:t xml:space="preserve">of </w:t>
      </w:r>
      <w:r w:rsidR="002000A9" w:rsidRPr="003D0F67">
        <w:rPr>
          <w:rFonts w:ascii="Times New Roman" w:hAnsi="Times New Roman"/>
          <w:color w:val="000000"/>
          <w:sz w:val="24"/>
          <w:szCs w:val="24"/>
          <w:lang w:val="en-US"/>
        </w:rPr>
        <w:t xml:space="preserve">normality </w:t>
      </w:r>
      <w:r w:rsidRPr="003D0F67">
        <w:rPr>
          <w:rFonts w:ascii="Times New Roman" w:hAnsi="Times New Roman"/>
          <w:color w:val="000000"/>
          <w:sz w:val="24"/>
          <w:szCs w:val="24"/>
          <w:lang w:val="en-US"/>
        </w:rPr>
        <w:t>of the error term that characterizes the Heckman selection model. To address this aspect, we also applied the semi-nonparametric selection model of Gabler et al. (1993), which relaxes the Gaussian distributional assumption by specifying the likelihood function semi-parametrically. The results obtained</w:t>
      </w:r>
      <w:r>
        <w:rPr>
          <w:rFonts w:ascii="Times New Roman" w:hAnsi="Times New Roman"/>
          <w:color w:val="000000"/>
          <w:sz w:val="24"/>
          <w:szCs w:val="24"/>
          <w:lang w:val="en-US"/>
        </w:rPr>
        <w:t xml:space="preserve"> (not shown)</w:t>
      </w:r>
      <w:r w:rsidRPr="003D0F67">
        <w:rPr>
          <w:rFonts w:ascii="Times New Roman" w:hAnsi="Times New Roman"/>
          <w:color w:val="000000"/>
          <w:sz w:val="24"/>
          <w:szCs w:val="24"/>
          <w:lang w:val="en-US"/>
        </w:rPr>
        <w:t>, which are similar to those found with the Heckman model, suggest that our findings</w:t>
      </w:r>
      <w:r w:rsidRPr="003D0F67">
        <w:rPr>
          <w:rFonts w:ascii="Times New Roman" w:hAnsi="Times New Roman"/>
          <w:sz w:val="24"/>
          <w:szCs w:val="24"/>
          <w:lang w:val="en-US" w:eastAsia="fr-FR"/>
        </w:rPr>
        <w:t xml:space="preserve"> are not influenced by distributional assumptions</w:t>
      </w:r>
      <w:r w:rsidRPr="003D0F67">
        <w:rPr>
          <w:rFonts w:ascii="Times New Roman" w:hAnsi="Times New Roman"/>
          <w:color w:val="000000"/>
          <w:sz w:val="24"/>
          <w:szCs w:val="24"/>
          <w:lang w:val="en-US"/>
        </w:rPr>
        <w:t>.</w:t>
      </w:r>
    </w:p>
    <w:p w:rsidR="00B71B3E"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In the following, we first present the models that we estimate to find out the determinants of actual use of the insurance, we define the variables included in the regressions, discuss the related methodological issues, show the results and comment on them. Then, we repeat the </w:t>
      </w:r>
      <w:r>
        <w:rPr>
          <w:rFonts w:ascii="Times New Roman" w:hAnsi="Times New Roman"/>
          <w:sz w:val="24"/>
          <w:szCs w:val="24"/>
          <w:lang w:val="en-US"/>
        </w:rPr>
        <w:lastRenderedPageBreak/>
        <w:t>same procedure for the regression</w:t>
      </w:r>
      <w:r w:rsidR="005B3CB4">
        <w:rPr>
          <w:rFonts w:ascii="Times New Roman" w:hAnsi="Times New Roman"/>
          <w:sz w:val="24"/>
          <w:szCs w:val="24"/>
          <w:lang w:val="en-US"/>
        </w:rPr>
        <w:t>s used to explain variations in</w:t>
      </w:r>
      <w:r>
        <w:rPr>
          <w:rFonts w:ascii="Times New Roman" w:hAnsi="Times New Roman"/>
          <w:sz w:val="24"/>
          <w:szCs w:val="24"/>
          <w:lang w:val="en-US"/>
        </w:rPr>
        <w:t xml:space="preserve"> contract renewal decisions</w:t>
      </w:r>
      <w:r w:rsidR="005B3CB4">
        <w:rPr>
          <w:rFonts w:ascii="Times New Roman" w:hAnsi="Times New Roman"/>
          <w:sz w:val="24"/>
          <w:szCs w:val="24"/>
          <w:lang w:val="en-US"/>
        </w:rPr>
        <w:t xml:space="preserve"> and satisfaction levels</w:t>
      </w:r>
      <w:r>
        <w:rPr>
          <w:rFonts w:ascii="Times New Roman" w:hAnsi="Times New Roman"/>
          <w:sz w:val="24"/>
          <w:szCs w:val="24"/>
          <w:lang w:val="en-US"/>
        </w:rPr>
        <w:t>.</w:t>
      </w:r>
    </w:p>
    <w:p w:rsidR="00B71B3E" w:rsidRDefault="00B71B3E" w:rsidP="007F6A72">
      <w:pPr>
        <w:pStyle w:val="Listecouleur-Accent11"/>
        <w:keepNext/>
        <w:keepLines/>
        <w:numPr>
          <w:ilvl w:val="1"/>
          <w:numId w:val="21"/>
        </w:numPr>
        <w:spacing w:after="240" w:line="360" w:lineRule="auto"/>
        <w:contextualSpacing/>
        <w:jc w:val="both"/>
        <w:rPr>
          <w:rFonts w:ascii="Times New Roman" w:hAnsi="Times New Roman"/>
          <w:b/>
          <w:i/>
          <w:sz w:val="24"/>
          <w:szCs w:val="24"/>
          <w:lang w:val="en-US"/>
        </w:rPr>
      </w:pPr>
      <w:r>
        <w:rPr>
          <w:rFonts w:ascii="Times New Roman" w:hAnsi="Times New Roman"/>
          <w:b/>
          <w:i/>
          <w:sz w:val="24"/>
          <w:szCs w:val="24"/>
          <w:lang w:val="en-US"/>
        </w:rPr>
        <w:t>Determinants of actual use of insurance services</w:t>
      </w:r>
    </w:p>
    <w:p w:rsidR="00B71B3E" w:rsidRDefault="00B71B3E" w:rsidP="00B71B3E">
      <w:pPr>
        <w:keepNext/>
        <w:keepLines/>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The first model used to explain variations in actual use of insurance services is the following linear probability model:</w:t>
      </w:r>
    </w:p>
    <w:p w:rsidR="00B71B3E" w:rsidRDefault="00B71B3E" w:rsidP="00B71B3E">
      <w:pPr>
        <w:spacing w:after="240" w:line="360" w:lineRule="auto"/>
        <w:ind w:firstLine="426"/>
        <w:jc w:val="both"/>
        <w:rPr>
          <w:rFonts w:ascii="Times New Roman" w:hAnsi="Times New Roman"/>
          <w:sz w:val="24"/>
          <w:szCs w:val="24"/>
          <w:lang w:val="en-US"/>
        </w:rPr>
      </w:pPr>
      <w:r w:rsidRPr="00E87F80">
        <w:rPr>
          <w:rFonts w:ascii="Times New Roman" w:hAnsi="Times New Roman"/>
          <w:sz w:val="24"/>
          <w:szCs w:val="24"/>
          <w:lang w:val="en-US"/>
        </w:rPr>
        <w:object w:dxaOrig="9072" w:dyaOrig="662">
          <v:shape id="_x0000_i1029" type="#_x0000_t75" style="width:454.6pt;height:32.45pt" o:ole="">
            <v:imagedata r:id="rId17" o:title=""/>
          </v:shape>
          <o:OLEObject Type="Embed" ProgID="Word.Document.12" ShapeID="_x0000_i1029" DrawAspect="Content" ObjectID="_1431905101" r:id="rId18">
            <o:FieldCodes>\s</o:FieldCodes>
          </o:OLEObject>
        </w:object>
      </w:r>
      <w:r>
        <w:rPr>
          <w:rFonts w:ascii="Times New Roman" w:hAnsi="Times New Roman"/>
          <w:sz w:val="24"/>
          <w:szCs w:val="24"/>
          <w:lang w:val="en-US"/>
        </w:rPr>
        <w:t xml:space="preserve"> The dependent variable </w:t>
      </w:r>
      <w:r w:rsidR="00A40E24" w:rsidRPr="00F52867">
        <w:rPr>
          <w:rFonts w:ascii="Times New Roman" w:hAnsi="Times New Roman"/>
          <w:sz w:val="24"/>
          <w:szCs w:val="24"/>
          <w:lang w:val="en-US"/>
        </w:rPr>
        <w:fldChar w:fldCharType="begin"/>
      </w:r>
      <w:r w:rsidRPr="00F52867">
        <w:rPr>
          <w:rFonts w:ascii="Times New Roman" w:hAnsi="Times New Roman"/>
          <w:sz w:val="24"/>
          <w:szCs w:val="24"/>
          <w:lang w:val="en-US"/>
        </w:rPr>
        <w:instrText xml:space="preserve"> </w:instrText>
      </w:r>
      <w:r w:rsidR="009C2BC9">
        <w:rPr>
          <w:rFonts w:ascii="Times New Roman" w:hAnsi="Times New Roman"/>
          <w:sz w:val="24"/>
          <w:szCs w:val="24"/>
          <w:lang w:val="en-US"/>
        </w:rPr>
        <w:instrText>QUOTE</w:instrText>
      </w:r>
      <w:r w:rsidRPr="00F52867">
        <w:rPr>
          <w:rFonts w:ascii="Times New Roman" w:hAnsi="Times New Roman"/>
          <w:sz w:val="24"/>
          <w:szCs w:val="24"/>
          <w:lang w:val="en-US"/>
        </w:rPr>
        <w:instrText xml:space="preserve"> </w:instrText>
      </w:r>
      <w:r w:rsidR="00D249A0" w:rsidRPr="00A40E24">
        <w:rPr>
          <w:position w:val="-11"/>
        </w:rPr>
        <w:pict>
          <v:shape id="_x0000_i1030" type="#_x0000_t75" style="width:28.25pt;height:16.95pt" equationxml="&lt;">
            <v:imagedata r:id="rId19" o:title="" chromakey="white"/>
          </v:shape>
        </w:pict>
      </w:r>
      <w:r w:rsidRPr="00F52867">
        <w:rPr>
          <w:rFonts w:ascii="Times New Roman" w:hAnsi="Times New Roman"/>
          <w:sz w:val="24"/>
          <w:szCs w:val="24"/>
          <w:lang w:val="en-US"/>
        </w:rPr>
        <w:instrText xml:space="preserve"> </w:instrText>
      </w:r>
      <w:r w:rsidR="00A40E24" w:rsidRPr="00F52867">
        <w:rPr>
          <w:rFonts w:ascii="Times New Roman" w:hAnsi="Times New Roman"/>
          <w:sz w:val="24"/>
          <w:szCs w:val="24"/>
          <w:lang w:val="en-US"/>
        </w:rPr>
        <w:fldChar w:fldCharType="separate"/>
      </w:r>
      <w:r w:rsidR="00D249A0" w:rsidRPr="00A40E24">
        <w:rPr>
          <w:position w:val="-11"/>
        </w:rPr>
        <w:pict>
          <v:shape id="_x0000_i1031" type="#_x0000_t75" style="width:28.25pt;height:15.55pt" equationxml="&lt;">
            <v:imagedata r:id="rId19" o:title="" chromakey="white"/>
          </v:shape>
        </w:pict>
      </w:r>
      <w:r w:rsidR="00A40E24" w:rsidRPr="00F52867">
        <w:rPr>
          <w:rFonts w:ascii="Times New Roman" w:hAnsi="Times New Roman"/>
          <w:sz w:val="24"/>
          <w:szCs w:val="24"/>
          <w:lang w:val="en-US"/>
        </w:rPr>
        <w:fldChar w:fldCharType="end"/>
      </w:r>
      <w:r>
        <w:rPr>
          <w:rFonts w:ascii="Times New Roman" w:hAnsi="Times New Roman"/>
          <w:sz w:val="24"/>
          <w:szCs w:val="24"/>
          <w:lang w:val="en-US"/>
        </w:rPr>
        <w:t xml:space="preserve"> is a dummy with value one when household </w:t>
      </w:r>
      <w:r>
        <w:rPr>
          <w:rFonts w:ascii="Times New Roman" w:hAnsi="Times New Roman"/>
          <w:i/>
          <w:sz w:val="24"/>
          <w:szCs w:val="24"/>
          <w:lang w:val="en-US"/>
        </w:rPr>
        <w:t xml:space="preserve">i </w:t>
      </w:r>
      <w:r>
        <w:rPr>
          <w:rFonts w:ascii="Times New Roman" w:hAnsi="Times New Roman"/>
          <w:sz w:val="24"/>
          <w:szCs w:val="24"/>
          <w:lang w:val="en-US"/>
        </w:rPr>
        <w:t xml:space="preserve">of village </w:t>
      </w:r>
      <w:r>
        <w:rPr>
          <w:rFonts w:ascii="Times New Roman" w:hAnsi="Times New Roman"/>
          <w:i/>
          <w:sz w:val="24"/>
          <w:szCs w:val="24"/>
          <w:lang w:val="en-US"/>
        </w:rPr>
        <w:t>v</w:t>
      </w:r>
      <w:r>
        <w:rPr>
          <w:rFonts w:ascii="Times New Roman" w:hAnsi="Times New Roman"/>
          <w:sz w:val="24"/>
          <w:szCs w:val="24"/>
          <w:lang w:val="en-US"/>
        </w:rPr>
        <w:t xml:space="preserve"> has actually used its insurance during the period 2010-2011. The first independent variable, </w:t>
      </w:r>
      <w:r w:rsidR="00A40E24" w:rsidRPr="00F52867">
        <w:rPr>
          <w:rFonts w:ascii="Times New Roman" w:hAnsi="Times New Roman"/>
          <w:sz w:val="24"/>
          <w:szCs w:val="24"/>
          <w:lang w:val="en-US"/>
        </w:rPr>
        <w:fldChar w:fldCharType="begin"/>
      </w:r>
      <w:r w:rsidRPr="00F52867">
        <w:rPr>
          <w:rFonts w:ascii="Times New Roman" w:hAnsi="Times New Roman"/>
          <w:sz w:val="24"/>
          <w:szCs w:val="24"/>
          <w:lang w:val="en-US"/>
        </w:rPr>
        <w:instrText xml:space="preserve"> </w:instrText>
      </w:r>
      <w:r w:rsidR="009C2BC9">
        <w:rPr>
          <w:rFonts w:ascii="Times New Roman" w:hAnsi="Times New Roman"/>
          <w:sz w:val="24"/>
          <w:szCs w:val="24"/>
          <w:lang w:val="en-US"/>
        </w:rPr>
        <w:instrText>QUOTE</w:instrText>
      </w:r>
      <w:r w:rsidRPr="00F52867">
        <w:rPr>
          <w:rFonts w:ascii="Times New Roman" w:hAnsi="Times New Roman"/>
          <w:sz w:val="24"/>
          <w:szCs w:val="24"/>
          <w:lang w:val="en-US"/>
        </w:rPr>
        <w:instrText xml:space="preserve"> </w:instrText>
      </w:r>
      <w:r w:rsidR="00D249A0" w:rsidRPr="00A40E24">
        <w:rPr>
          <w:position w:val="-11"/>
        </w:rPr>
        <w:pict>
          <v:shape id="_x0000_i1032" type="#_x0000_t75" style="width:32.95pt;height:16.95pt" equationxml="&lt;">
            <v:imagedata r:id="rId20" o:title="" chromakey="white"/>
          </v:shape>
        </w:pict>
      </w:r>
      <w:r w:rsidRPr="00F52867">
        <w:rPr>
          <w:rFonts w:ascii="Times New Roman" w:hAnsi="Times New Roman"/>
          <w:sz w:val="24"/>
          <w:szCs w:val="24"/>
          <w:lang w:val="en-US"/>
        </w:rPr>
        <w:instrText xml:space="preserve"> </w:instrText>
      </w:r>
      <w:r w:rsidR="00A40E24" w:rsidRPr="00F52867">
        <w:rPr>
          <w:rFonts w:ascii="Times New Roman" w:hAnsi="Times New Roman"/>
          <w:sz w:val="24"/>
          <w:szCs w:val="24"/>
          <w:lang w:val="en-US"/>
        </w:rPr>
        <w:fldChar w:fldCharType="separate"/>
      </w:r>
      <w:r w:rsidR="00D249A0" w:rsidRPr="00A40E24">
        <w:rPr>
          <w:position w:val="-11"/>
        </w:rPr>
        <w:pict>
          <v:shape id="_x0000_i1033" type="#_x0000_t75" style="width:31.55pt;height:15.55pt" equationxml="&lt;">
            <v:imagedata r:id="rId20" o:title="" chromakey="white"/>
          </v:shape>
        </w:pict>
      </w:r>
      <w:r w:rsidR="00A40E24" w:rsidRPr="00F52867">
        <w:rPr>
          <w:rFonts w:ascii="Times New Roman" w:hAnsi="Times New Roman"/>
          <w:sz w:val="24"/>
          <w:szCs w:val="24"/>
          <w:lang w:val="en-US"/>
        </w:rPr>
        <w:fldChar w:fldCharType="end"/>
      </w:r>
      <w:r>
        <w:rPr>
          <w:rFonts w:ascii="Times New Roman" w:hAnsi="Times New Roman"/>
          <w:sz w:val="24"/>
          <w:szCs w:val="24"/>
          <w:lang w:val="en-US"/>
        </w:rPr>
        <w:t xml:space="preserve">, is our measure of the household’s level of information, whether </w:t>
      </w:r>
      <w:r w:rsidRPr="008C71FC">
        <w:rPr>
          <w:rFonts w:ascii="Times New Roman" w:hAnsi="Times New Roman"/>
          <w:sz w:val="24"/>
          <w:szCs w:val="24"/>
          <w:lang w:val="en-US"/>
        </w:rPr>
        <w:t>INFO_1, INFO_2, or INFO_</w:t>
      </w:r>
      <w:r>
        <w:rPr>
          <w:rFonts w:ascii="Times New Roman" w:hAnsi="Times New Roman"/>
          <w:sz w:val="24"/>
          <w:szCs w:val="24"/>
          <w:lang w:val="en-US"/>
        </w:rPr>
        <w:t xml:space="preserve">3. The second independent variable, </w:t>
      </w:r>
      <w:r w:rsidR="00A40E24" w:rsidRPr="00F52867">
        <w:rPr>
          <w:rFonts w:ascii="Times New Roman" w:hAnsi="Times New Roman"/>
          <w:sz w:val="24"/>
          <w:szCs w:val="24"/>
          <w:lang w:val="en-US"/>
        </w:rPr>
        <w:fldChar w:fldCharType="begin"/>
      </w:r>
      <w:r w:rsidRPr="00F52867">
        <w:rPr>
          <w:rFonts w:ascii="Times New Roman" w:hAnsi="Times New Roman"/>
          <w:sz w:val="24"/>
          <w:szCs w:val="24"/>
          <w:lang w:val="en-US"/>
        </w:rPr>
        <w:instrText xml:space="preserve"> </w:instrText>
      </w:r>
      <w:r w:rsidR="009C2BC9">
        <w:rPr>
          <w:rFonts w:ascii="Times New Roman" w:hAnsi="Times New Roman"/>
          <w:sz w:val="24"/>
          <w:szCs w:val="24"/>
          <w:lang w:val="en-US"/>
        </w:rPr>
        <w:instrText>QUOTE</w:instrText>
      </w:r>
      <w:r w:rsidRPr="00F52867">
        <w:rPr>
          <w:rFonts w:ascii="Times New Roman" w:hAnsi="Times New Roman"/>
          <w:sz w:val="24"/>
          <w:szCs w:val="24"/>
          <w:lang w:val="en-US"/>
        </w:rPr>
        <w:instrText xml:space="preserve"> </w:instrText>
      </w:r>
      <w:r w:rsidR="00D249A0" w:rsidRPr="00A40E24">
        <w:rPr>
          <w:position w:val="-11"/>
        </w:rPr>
        <w:pict>
          <v:shape id="_x0000_i1034" type="#_x0000_t75" style="width:31.05pt;height:16.95pt" equationxml="&lt;">
            <v:imagedata r:id="rId21" o:title="" chromakey="white"/>
          </v:shape>
        </w:pict>
      </w:r>
      <w:r w:rsidRPr="00F52867">
        <w:rPr>
          <w:rFonts w:ascii="Times New Roman" w:hAnsi="Times New Roman"/>
          <w:sz w:val="24"/>
          <w:szCs w:val="24"/>
          <w:lang w:val="en-US"/>
        </w:rPr>
        <w:instrText xml:space="preserve"> </w:instrText>
      </w:r>
      <w:r w:rsidR="00A40E24" w:rsidRPr="00F52867">
        <w:rPr>
          <w:rFonts w:ascii="Times New Roman" w:hAnsi="Times New Roman"/>
          <w:sz w:val="24"/>
          <w:szCs w:val="24"/>
          <w:lang w:val="en-US"/>
        </w:rPr>
        <w:fldChar w:fldCharType="separate"/>
      </w:r>
      <w:r w:rsidR="00D249A0" w:rsidRPr="00A40E24">
        <w:rPr>
          <w:position w:val="-11"/>
        </w:rPr>
        <w:pict>
          <v:shape id="_x0000_i1035" type="#_x0000_t75" style="width:31.05pt;height:15.55pt" equationxml="&lt;">
            <v:imagedata r:id="rId21" o:title="" chromakey="white"/>
          </v:shape>
        </w:pict>
      </w:r>
      <w:r w:rsidR="00A40E24" w:rsidRPr="00F52867">
        <w:rPr>
          <w:rFonts w:ascii="Times New Roman" w:hAnsi="Times New Roman"/>
          <w:sz w:val="24"/>
          <w:szCs w:val="24"/>
          <w:lang w:val="en-US"/>
        </w:rPr>
        <w:fldChar w:fldCharType="end"/>
      </w:r>
      <w:r>
        <w:rPr>
          <w:rFonts w:ascii="Times New Roman" w:hAnsi="Times New Roman"/>
          <w:sz w:val="24"/>
          <w:szCs w:val="24"/>
          <w:lang w:val="en-US"/>
        </w:rPr>
        <w:t xml:space="preserve">, is a dummy with value one if the household belonged to a self-help group before the start of the microinsurance program. We also have a set of controls, </w:t>
      </w:r>
      <w:r w:rsidR="00A40E24" w:rsidRPr="00F52867">
        <w:rPr>
          <w:rFonts w:ascii="Times New Roman" w:hAnsi="Times New Roman"/>
          <w:sz w:val="24"/>
          <w:szCs w:val="24"/>
          <w:lang w:val="en-US"/>
        </w:rPr>
        <w:fldChar w:fldCharType="begin"/>
      </w:r>
      <w:r w:rsidRPr="00F52867">
        <w:rPr>
          <w:rFonts w:ascii="Times New Roman" w:hAnsi="Times New Roman"/>
          <w:sz w:val="24"/>
          <w:szCs w:val="24"/>
          <w:lang w:val="en-US"/>
        </w:rPr>
        <w:instrText xml:space="preserve"> </w:instrText>
      </w:r>
      <w:r w:rsidR="009C2BC9">
        <w:rPr>
          <w:rFonts w:ascii="Times New Roman" w:hAnsi="Times New Roman"/>
          <w:sz w:val="24"/>
          <w:szCs w:val="24"/>
          <w:lang w:val="en-US"/>
        </w:rPr>
        <w:instrText>QUOTE</w:instrText>
      </w:r>
      <w:r w:rsidRPr="00F52867">
        <w:rPr>
          <w:rFonts w:ascii="Times New Roman" w:hAnsi="Times New Roman"/>
          <w:sz w:val="24"/>
          <w:szCs w:val="24"/>
          <w:lang w:val="en-US"/>
        </w:rPr>
        <w:instrText xml:space="preserve"> </w:instrText>
      </w:r>
      <w:r w:rsidR="00D249A0" w:rsidRPr="00A40E24">
        <w:rPr>
          <w:position w:val="-11"/>
        </w:rPr>
        <w:pict>
          <v:shape id="_x0000_i1036" type="#_x0000_t75" style="width:54.6pt;height:16.95pt" equationxml="&lt;">
            <v:imagedata r:id="rId22" o:title="" chromakey="white"/>
          </v:shape>
        </w:pict>
      </w:r>
      <w:r w:rsidRPr="00F52867">
        <w:rPr>
          <w:rFonts w:ascii="Times New Roman" w:hAnsi="Times New Roman"/>
          <w:sz w:val="24"/>
          <w:szCs w:val="24"/>
          <w:lang w:val="en-US"/>
        </w:rPr>
        <w:instrText xml:space="preserve"> </w:instrText>
      </w:r>
      <w:r w:rsidR="00A40E24" w:rsidRPr="00F52867">
        <w:rPr>
          <w:rFonts w:ascii="Times New Roman" w:hAnsi="Times New Roman"/>
          <w:sz w:val="24"/>
          <w:szCs w:val="24"/>
          <w:lang w:val="en-US"/>
        </w:rPr>
        <w:fldChar w:fldCharType="separate"/>
      </w:r>
      <w:r w:rsidR="00D249A0" w:rsidRPr="00A40E24">
        <w:rPr>
          <w:position w:val="-11"/>
        </w:rPr>
        <w:pict>
          <v:shape id="_x0000_i1037" type="#_x0000_t75" style="width:55.05pt;height:15.55pt" equationxml="&lt;">
            <v:imagedata r:id="rId22" o:title="" chromakey="white"/>
          </v:shape>
        </w:pict>
      </w:r>
      <w:r w:rsidR="00A40E24" w:rsidRPr="00F52867">
        <w:rPr>
          <w:rFonts w:ascii="Times New Roman" w:hAnsi="Times New Roman"/>
          <w:sz w:val="24"/>
          <w:szCs w:val="24"/>
          <w:lang w:val="en-US"/>
        </w:rPr>
        <w:fldChar w:fldCharType="end"/>
      </w:r>
      <w:r>
        <w:rPr>
          <w:rFonts w:ascii="Times New Roman" w:hAnsi="Times New Roman"/>
          <w:sz w:val="24"/>
          <w:szCs w:val="24"/>
          <w:lang w:val="en-US"/>
        </w:rPr>
        <w:t xml:space="preserve">, which includes the age, gender and education level of the household, its size, its income, wealth, health status during the current year and level of health-consciousness. Age (labeled </w:t>
      </w:r>
      <w:r w:rsidRPr="009437F1">
        <w:rPr>
          <w:rFonts w:ascii="Times New Roman" w:hAnsi="Times New Roman"/>
          <w:i/>
          <w:sz w:val="24"/>
          <w:szCs w:val="24"/>
          <w:lang w:val="en-US"/>
        </w:rPr>
        <w:t>age</w:t>
      </w:r>
      <w:r>
        <w:rPr>
          <w:rFonts w:ascii="Times New Roman" w:hAnsi="Times New Roman"/>
          <w:sz w:val="24"/>
          <w:szCs w:val="24"/>
          <w:lang w:val="en-US"/>
        </w:rPr>
        <w:t xml:space="preserve">) </w:t>
      </w:r>
      <w:r w:rsidRPr="009437F1">
        <w:rPr>
          <w:rFonts w:ascii="Times New Roman" w:hAnsi="Times New Roman"/>
          <w:sz w:val="24"/>
          <w:szCs w:val="24"/>
          <w:lang w:val="en-US"/>
        </w:rPr>
        <w:t>is</w:t>
      </w:r>
      <w:r>
        <w:rPr>
          <w:rFonts w:ascii="Times New Roman" w:hAnsi="Times New Roman"/>
          <w:sz w:val="24"/>
          <w:szCs w:val="24"/>
          <w:lang w:val="en-US"/>
        </w:rPr>
        <w:t xml:space="preserve"> measured continuously while </w:t>
      </w:r>
      <w:r>
        <w:rPr>
          <w:rFonts w:ascii="Times New Roman" w:hAnsi="Times New Roman"/>
          <w:i/>
          <w:sz w:val="24"/>
          <w:szCs w:val="24"/>
          <w:lang w:val="en-US"/>
        </w:rPr>
        <w:t xml:space="preserve">gender </w:t>
      </w:r>
      <w:r>
        <w:rPr>
          <w:rFonts w:ascii="Times New Roman" w:hAnsi="Times New Roman"/>
          <w:sz w:val="24"/>
          <w:szCs w:val="24"/>
          <w:lang w:val="en-US"/>
        </w:rPr>
        <w:t>is a dummy with value one when the household head is a man. The size of the household (</w:t>
      </w:r>
      <w:r w:rsidRPr="009437F1">
        <w:rPr>
          <w:rFonts w:ascii="Times New Roman" w:hAnsi="Times New Roman"/>
          <w:i/>
          <w:sz w:val="24"/>
          <w:szCs w:val="24"/>
          <w:lang w:val="en-US"/>
        </w:rPr>
        <w:t>hholdsize</w:t>
      </w:r>
      <w:r>
        <w:rPr>
          <w:rFonts w:ascii="Times New Roman" w:hAnsi="Times New Roman"/>
          <w:sz w:val="24"/>
          <w:szCs w:val="24"/>
          <w:lang w:val="en-US"/>
        </w:rPr>
        <w:t xml:space="preserve">) corresponds to the number of members of all ages in the household. </w:t>
      </w:r>
      <w:r w:rsidRPr="009437F1">
        <w:rPr>
          <w:rFonts w:ascii="Times New Roman" w:hAnsi="Times New Roman"/>
          <w:sz w:val="24"/>
          <w:szCs w:val="24"/>
          <w:lang w:val="en-US"/>
        </w:rPr>
        <w:t>Education</w:t>
      </w:r>
      <w:r>
        <w:rPr>
          <w:rFonts w:ascii="Times New Roman" w:hAnsi="Times New Roman"/>
          <w:sz w:val="24"/>
          <w:szCs w:val="24"/>
          <w:lang w:val="en-US"/>
        </w:rPr>
        <w:t xml:space="preserve"> is measured in two different ways. We use a dummy (</w:t>
      </w:r>
      <w:r>
        <w:rPr>
          <w:rFonts w:ascii="Times New Roman" w:hAnsi="Times New Roman"/>
          <w:i/>
          <w:sz w:val="24"/>
          <w:szCs w:val="24"/>
          <w:lang w:val="en-US"/>
        </w:rPr>
        <w:t>literacy</w:t>
      </w:r>
      <w:r>
        <w:rPr>
          <w:rFonts w:ascii="Times New Roman" w:hAnsi="Times New Roman"/>
          <w:sz w:val="24"/>
          <w:szCs w:val="24"/>
          <w:lang w:val="en-US"/>
        </w:rPr>
        <w:t>) equal to one if the household can read and write, and a continuous variable (</w:t>
      </w:r>
      <w:r>
        <w:rPr>
          <w:rFonts w:ascii="Times New Roman" w:hAnsi="Times New Roman"/>
          <w:i/>
          <w:sz w:val="24"/>
          <w:szCs w:val="24"/>
          <w:lang w:val="en-US"/>
        </w:rPr>
        <w:t>schooling</w:t>
      </w:r>
      <w:r>
        <w:rPr>
          <w:rFonts w:ascii="Times New Roman" w:hAnsi="Times New Roman"/>
          <w:sz w:val="24"/>
          <w:szCs w:val="24"/>
          <w:lang w:val="en-US"/>
        </w:rPr>
        <w:t xml:space="preserve">) that indicates the number of years of schooling at any level (primary, secondary, and higher). To test for the concavity of the schooling variable, we add a square term, </w:t>
      </w:r>
      <w:r>
        <w:rPr>
          <w:rFonts w:ascii="Times New Roman" w:hAnsi="Times New Roman"/>
          <w:i/>
          <w:sz w:val="24"/>
          <w:szCs w:val="24"/>
          <w:lang w:val="en-US"/>
        </w:rPr>
        <w:t>schooling2</w:t>
      </w:r>
      <w:r>
        <w:rPr>
          <w:rFonts w:ascii="Times New Roman" w:hAnsi="Times New Roman"/>
          <w:sz w:val="24"/>
          <w:szCs w:val="24"/>
          <w:lang w:val="en-US"/>
        </w:rPr>
        <w:t xml:space="preserve">. Health status (denoted by </w:t>
      </w:r>
      <w:r>
        <w:rPr>
          <w:rFonts w:ascii="Times New Roman" w:hAnsi="Times New Roman"/>
          <w:i/>
          <w:sz w:val="24"/>
          <w:szCs w:val="24"/>
          <w:lang w:val="en-US"/>
        </w:rPr>
        <w:t>sick_</w:t>
      </w:r>
      <w:r w:rsidR="00785022">
        <w:rPr>
          <w:rFonts w:ascii="Times New Roman" w:hAnsi="Times New Roman"/>
          <w:i/>
          <w:sz w:val="24"/>
          <w:szCs w:val="24"/>
          <w:lang w:val="en-US"/>
        </w:rPr>
        <w:t>member_present</w:t>
      </w:r>
      <w:r>
        <w:rPr>
          <w:rFonts w:ascii="Times New Roman" w:hAnsi="Times New Roman"/>
          <w:sz w:val="24"/>
          <w:szCs w:val="24"/>
          <w:lang w:val="en-US"/>
        </w:rPr>
        <w:t xml:space="preserve">) is a dummy indicating whether any member in the household was sick during the period 2010-2011. The household’s level of health-consciousness, or awareness about the importance of prevention, is measured by a composite index that we have explained earlier and named </w:t>
      </w:r>
      <w:r w:rsidRPr="004A2F51">
        <w:rPr>
          <w:rFonts w:ascii="Times New Roman" w:hAnsi="Times New Roman"/>
          <w:sz w:val="24"/>
          <w:szCs w:val="24"/>
          <w:lang w:val="en-US"/>
        </w:rPr>
        <w:t>prevention</w:t>
      </w:r>
      <w:r>
        <w:rPr>
          <w:rFonts w:ascii="Times New Roman" w:hAnsi="Times New Roman"/>
          <w:sz w:val="24"/>
          <w:szCs w:val="24"/>
          <w:lang w:val="en-US"/>
        </w:rPr>
        <w:t xml:space="preserve"> </w:t>
      </w:r>
      <w:r w:rsidRPr="004A2F51">
        <w:rPr>
          <w:rFonts w:ascii="Times New Roman" w:hAnsi="Times New Roman"/>
          <w:sz w:val="24"/>
          <w:szCs w:val="24"/>
          <w:lang w:val="en-US"/>
        </w:rPr>
        <w:t>index</w:t>
      </w:r>
      <w:r>
        <w:rPr>
          <w:rFonts w:ascii="Times New Roman" w:hAnsi="Times New Roman"/>
          <w:sz w:val="24"/>
          <w:szCs w:val="24"/>
          <w:lang w:val="en-US"/>
        </w:rPr>
        <w:t xml:space="preserve"> (henceforth labeled </w:t>
      </w:r>
      <w:r>
        <w:rPr>
          <w:rFonts w:ascii="Times New Roman" w:hAnsi="Times New Roman"/>
          <w:i/>
          <w:sz w:val="24"/>
          <w:szCs w:val="24"/>
          <w:lang w:val="en-US"/>
        </w:rPr>
        <w:t>prevention_index</w:t>
      </w:r>
      <w:r w:rsidR="00785022">
        <w:rPr>
          <w:rFonts w:ascii="Times New Roman" w:hAnsi="Times New Roman"/>
          <w:i/>
          <w:sz w:val="24"/>
          <w:szCs w:val="24"/>
          <w:lang w:val="en-US"/>
        </w:rPr>
        <w:t>_present</w:t>
      </w:r>
      <w:r>
        <w:rPr>
          <w:rFonts w:ascii="Times New Roman" w:hAnsi="Times New Roman"/>
          <w:sz w:val="24"/>
          <w:szCs w:val="24"/>
          <w:lang w:val="en-US"/>
        </w:rPr>
        <w:t xml:space="preserve">). Finally, </w:t>
      </w:r>
      <w:r>
        <w:rPr>
          <w:rFonts w:ascii="Times New Roman" w:hAnsi="Times New Roman"/>
          <w:i/>
          <w:sz w:val="24"/>
          <w:szCs w:val="24"/>
          <w:lang w:val="en-US"/>
        </w:rPr>
        <w:t>ln</w:t>
      </w:r>
      <w:r w:rsidRPr="0099314E">
        <w:rPr>
          <w:rFonts w:ascii="Times New Roman" w:hAnsi="Times New Roman"/>
          <w:i/>
          <w:sz w:val="24"/>
          <w:szCs w:val="24"/>
          <w:lang w:val="en-US"/>
        </w:rPr>
        <w:t>income</w:t>
      </w:r>
      <w:r>
        <w:rPr>
          <w:rFonts w:ascii="Times New Roman" w:hAnsi="Times New Roman"/>
          <w:sz w:val="24"/>
          <w:szCs w:val="24"/>
          <w:lang w:val="en-US"/>
        </w:rPr>
        <w:t xml:space="preserve"> is income measured in logarithmic terms while wealth is captured by a composite index denoted by </w:t>
      </w:r>
      <w:r>
        <w:rPr>
          <w:rFonts w:ascii="Times New Roman" w:hAnsi="Times New Roman"/>
          <w:i/>
          <w:sz w:val="24"/>
          <w:szCs w:val="24"/>
          <w:lang w:val="en-US"/>
        </w:rPr>
        <w:t xml:space="preserve">asset_index </w:t>
      </w:r>
      <w:r>
        <w:rPr>
          <w:rFonts w:ascii="Times New Roman" w:hAnsi="Times New Roman"/>
          <w:sz w:val="24"/>
          <w:szCs w:val="24"/>
          <w:lang w:val="en-US"/>
        </w:rPr>
        <w:t>(see Section 2).</w:t>
      </w:r>
    </w:p>
    <w:p w:rsidR="00B71B3E"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Endogeneity of information to actual use is hardly a possibility. It is, indeed, difficult to believe that a household did not want to use services covered by an insurance to which it subscribed (at a positive cost) and, therefore, chose not to acquire the necessary information. </w:t>
      </w:r>
      <w:r>
        <w:rPr>
          <w:rFonts w:ascii="Times New Roman" w:hAnsi="Times New Roman"/>
          <w:sz w:val="24"/>
          <w:szCs w:val="24"/>
          <w:lang w:val="en-US"/>
        </w:rPr>
        <w:lastRenderedPageBreak/>
        <w:t>Much more realistic is the possibility that the occurrence of a health event influences effort to obtain such information. Because these two variables figure out on the RHS of the above equation, we should observe multicollinearity. Our data nevertheless show that this correlation does not actually exist: households which had a sick member during the period 2010-2011 are not better informed than the other households. This is an important finding since it strongly suggests that information failures arise from the supply rather than the demand side. Such a conclusion is borne out when we consider the correlation between the health prevention index and information, based on the idea that people who are more health conscious should strive to get more information about the insurance scheme if they have subscribed. What we find is that this correlation is surprisingly low (0.11), much smaller than the correlation between the prevention index and income (0.23), or between the prevention index and education measured by the number of years of schooling (0.24) or the literacy dummy (0.18).</w:t>
      </w:r>
    </w:p>
    <w:p w:rsidR="00B71B3E"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The second model is the selection model. It has the following form:</w:t>
      </w:r>
    </w:p>
    <w:p w:rsidR="00B71B3E" w:rsidRDefault="00B71B3E" w:rsidP="00B71B3E">
      <w:pPr>
        <w:spacing w:after="240" w:line="360" w:lineRule="auto"/>
        <w:ind w:firstLine="426"/>
        <w:jc w:val="both"/>
        <w:rPr>
          <w:rFonts w:ascii="Times New Roman" w:hAnsi="Times New Roman"/>
          <w:sz w:val="24"/>
          <w:szCs w:val="24"/>
          <w:lang w:val="en-US"/>
        </w:rPr>
      </w:pPr>
      <w:r w:rsidRPr="00E87F80">
        <w:rPr>
          <w:rFonts w:ascii="Times New Roman" w:hAnsi="Times New Roman"/>
          <w:sz w:val="24"/>
          <w:szCs w:val="24"/>
          <w:lang w:val="en-US"/>
        </w:rPr>
        <w:object w:dxaOrig="7287" w:dyaOrig="1589">
          <v:shape id="_x0000_i1038" type="#_x0000_t75" style="width:364.25pt;height:79.05pt" o:ole="">
            <v:imagedata r:id="rId23" o:title=""/>
          </v:shape>
          <o:OLEObject Type="Embed" ProgID="Word.Document.12" ShapeID="_x0000_i1038" DrawAspect="Content" ObjectID="_1431905102" r:id="rId24">
            <o:FieldCodes>\s</o:FieldCodes>
          </o:OLEObject>
        </w:object>
      </w:r>
    </w:p>
    <w:p w:rsidR="00B71B3E"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The selection equation explains the unobservable propensity to subscribe to an insurance, </w:t>
      </w:r>
      <w:r>
        <w:rPr>
          <w:rFonts w:ascii="Times New Roman" w:hAnsi="Times New Roman"/>
          <w:i/>
          <w:sz w:val="24"/>
          <w:szCs w:val="24"/>
          <w:lang w:val="en-US"/>
        </w:rPr>
        <w:t>S</w:t>
      </w:r>
      <w:r>
        <w:rPr>
          <w:rFonts w:ascii="Times New Roman" w:hAnsi="Times New Roman"/>
          <w:i/>
          <w:sz w:val="24"/>
          <w:szCs w:val="24"/>
          <w:vertAlign w:val="subscript"/>
          <w:lang w:val="en-US"/>
        </w:rPr>
        <w:t>iv</w:t>
      </w:r>
      <w:r>
        <w:rPr>
          <w:rFonts w:ascii="Times New Roman" w:hAnsi="Times New Roman"/>
          <w:i/>
          <w:sz w:val="24"/>
          <w:szCs w:val="24"/>
          <w:vertAlign w:val="superscript"/>
          <w:lang w:val="en-US"/>
        </w:rPr>
        <w:t>*</w:t>
      </w:r>
      <w:r>
        <w:rPr>
          <w:rFonts w:ascii="Times New Roman" w:hAnsi="Times New Roman"/>
          <w:sz w:val="24"/>
          <w:szCs w:val="24"/>
          <w:lang w:val="en-US"/>
        </w:rPr>
        <w:t xml:space="preserve">, as a function of a set of instruments, </w:t>
      </w:r>
      <w:r>
        <w:rPr>
          <w:rFonts w:ascii="Times New Roman" w:hAnsi="Times New Roman"/>
          <w:i/>
          <w:sz w:val="24"/>
          <w:szCs w:val="24"/>
          <w:lang w:val="en-US"/>
        </w:rPr>
        <w:t>P</w:t>
      </w:r>
      <w:r>
        <w:rPr>
          <w:rFonts w:ascii="Times New Roman" w:hAnsi="Times New Roman"/>
          <w:i/>
          <w:sz w:val="24"/>
          <w:szCs w:val="24"/>
          <w:vertAlign w:val="subscript"/>
          <w:lang w:val="en-US"/>
        </w:rPr>
        <w:t>iv</w:t>
      </w:r>
      <w:r>
        <w:rPr>
          <w:rFonts w:ascii="Times New Roman" w:hAnsi="Times New Roman"/>
          <w:i/>
          <w:sz w:val="24"/>
          <w:szCs w:val="24"/>
          <w:vertAlign w:val="superscript"/>
          <w:lang w:val="en-US"/>
        </w:rPr>
        <w:t>*</w:t>
      </w:r>
      <w:r>
        <w:rPr>
          <w:rFonts w:ascii="Times New Roman" w:hAnsi="Times New Roman"/>
          <w:i/>
          <w:sz w:val="24"/>
          <w:szCs w:val="24"/>
          <w:lang w:val="en-US"/>
        </w:rPr>
        <w:t xml:space="preserve">, </w:t>
      </w:r>
      <w:r>
        <w:rPr>
          <w:rFonts w:ascii="Times New Roman" w:hAnsi="Times New Roman"/>
          <w:sz w:val="24"/>
          <w:szCs w:val="24"/>
          <w:lang w:val="en-US"/>
        </w:rPr>
        <w:t xml:space="preserve">and the independent variables included in the second-stage equation. The dependent variable </w:t>
      </w:r>
      <w:r w:rsidR="007E0983">
        <w:rPr>
          <w:rFonts w:ascii="Times New Roman" w:hAnsi="Times New Roman"/>
          <w:i/>
          <w:sz w:val="24"/>
          <w:szCs w:val="24"/>
          <w:lang w:val="en-US"/>
        </w:rPr>
        <w:t>u</w:t>
      </w:r>
      <w:r>
        <w:rPr>
          <w:rFonts w:ascii="Times New Roman" w:hAnsi="Times New Roman"/>
          <w:i/>
          <w:sz w:val="24"/>
          <w:szCs w:val="24"/>
          <w:lang w:val="en-US"/>
        </w:rPr>
        <w:t>se</w:t>
      </w:r>
      <w:r>
        <w:rPr>
          <w:rFonts w:ascii="Times New Roman" w:hAnsi="Times New Roman"/>
          <w:i/>
          <w:sz w:val="24"/>
          <w:szCs w:val="24"/>
          <w:vertAlign w:val="subscript"/>
          <w:lang w:val="en-US"/>
        </w:rPr>
        <w:t xml:space="preserve">iv </w:t>
      </w:r>
      <w:r>
        <w:rPr>
          <w:rFonts w:ascii="Times New Roman" w:hAnsi="Times New Roman"/>
          <w:sz w:val="24"/>
          <w:szCs w:val="24"/>
          <w:lang w:val="en-US"/>
        </w:rPr>
        <w:t xml:space="preserve">is observed only when </w:t>
      </w:r>
      <w:r>
        <w:rPr>
          <w:rFonts w:ascii="Times New Roman" w:hAnsi="Times New Roman"/>
          <w:i/>
          <w:sz w:val="24"/>
          <w:szCs w:val="24"/>
          <w:lang w:val="en-US"/>
        </w:rPr>
        <w:t>S</w:t>
      </w:r>
      <w:r>
        <w:rPr>
          <w:rFonts w:ascii="Times New Roman" w:hAnsi="Times New Roman"/>
          <w:i/>
          <w:sz w:val="24"/>
          <w:szCs w:val="24"/>
          <w:vertAlign w:val="subscript"/>
          <w:lang w:val="en-US"/>
        </w:rPr>
        <w:t>iv</w:t>
      </w:r>
      <w:r>
        <w:rPr>
          <w:rFonts w:ascii="Times New Roman" w:hAnsi="Times New Roman"/>
          <w:i/>
          <w:sz w:val="24"/>
          <w:szCs w:val="24"/>
          <w:vertAlign w:val="superscript"/>
          <w:lang w:val="en-US"/>
        </w:rPr>
        <w:t>*</w:t>
      </w:r>
      <w:r>
        <w:rPr>
          <w:rFonts w:ascii="Times New Roman" w:hAnsi="Times New Roman"/>
          <w:i/>
          <w:sz w:val="24"/>
          <w:szCs w:val="24"/>
          <w:lang w:val="en-US"/>
        </w:rPr>
        <w:t xml:space="preserve">=1. </w:t>
      </w:r>
      <w:r>
        <w:rPr>
          <w:rFonts w:ascii="Times New Roman" w:hAnsi="Times New Roman"/>
          <w:sz w:val="24"/>
          <w:szCs w:val="24"/>
          <w:lang w:val="en-US"/>
        </w:rPr>
        <w:t>The two instruments t</w:t>
      </w:r>
      <w:r w:rsidR="003C23B1">
        <w:rPr>
          <w:rFonts w:ascii="Times New Roman" w:hAnsi="Times New Roman"/>
          <w:sz w:val="24"/>
          <w:szCs w:val="24"/>
          <w:lang w:val="en-US"/>
        </w:rPr>
        <w:t>hat we use are (1°) the prevention index</w:t>
      </w:r>
      <w:r>
        <w:rPr>
          <w:rFonts w:ascii="Times New Roman" w:hAnsi="Times New Roman"/>
          <w:sz w:val="24"/>
          <w:szCs w:val="24"/>
          <w:lang w:val="en-US"/>
        </w:rPr>
        <w:t xml:space="preserve"> of the household</w:t>
      </w:r>
      <w:r w:rsidR="003C23B1">
        <w:rPr>
          <w:rFonts w:ascii="Times New Roman" w:hAnsi="Times New Roman"/>
          <w:sz w:val="24"/>
          <w:szCs w:val="24"/>
          <w:lang w:val="en-US"/>
        </w:rPr>
        <w:t xml:space="preserve"> as measured historically (</w:t>
      </w:r>
      <w:r>
        <w:rPr>
          <w:rFonts w:ascii="Times New Roman" w:hAnsi="Times New Roman"/>
          <w:sz w:val="24"/>
          <w:szCs w:val="24"/>
          <w:lang w:val="en-US"/>
        </w:rPr>
        <w:t>prior to the start of the SSP program</w:t>
      </w:r>
      <w:r w:rsidR="003C23B1">
        <w:rPr>
          <w:rFonts w:ascii="Times New Roman" w:hAnsi="Times New Roman"/>
          <w:sz w:val="24"/>
          <w:szCs w:val="24"/>
          <w:lang w:val="en-US"/>
        </w:rPr>
        <w:t xml:space="preserve">), which is </w:t>
      </w:r>
      <w:r>
        <w:rPr>
          <w:rFonts w:ascii="Times New Roman" w:hAnsi="Times New Roman"/>
          <w:sz w:val="24"/>
          <w:szCs w:val="24"/>
          <w:lang w:val="en-US"/>
        </w:rPr>
        <w:t xml:space="preserve">labeled </w:t>
      </w:r>
      <w:r w:rsidR="003C23B1">
        <w:rPr>
          <w:rFonts w:ascii="Times New Roman" w:hAnsi="Times New Roman"/>
          <w:i/>
          <w:sz w:val="24"/>
          <w:szCs w:val="24"/>
          <w:lang w:val="en-US"/>
        </w:rPr>
        <w:t>prevention</w:t>
      </w:r>
      <w:r>
        <w:rPr>
          <w:rFonts w:ascii="Times New Roman" w:hAnsi="Times New Roman"/>
          <w:i/>
          <w:sz w:val="24"/>
          <w:szCs w:val="24"/>
          <w:lang w:val="en-US"/>
        </w:rPr>
        <w:t>_</w:t>
      </w:r>
      <w:r w:rsidR="00785022">
        <w:rPr>
          <w:rFonts w:ascii="Times New Roman" w:hAnsi="Times New Roman"/>
          <w:i/>
          <w:sz w:val="24"/>
          <w:szCs w:val="24"/>
          <w:lang w:val="en-US"/>
        </w:rPr>
        <w:t>index_past</w:t>
      </w:r>
      <w:r>
        <w:rPr>
          <w:rFonts w:ascii="Times New Roman" w:hAnsi="Times New Roman"/>
          <w:sz w:val="24"/>
          <w:szCs w:val="24"/>
          <w:lang w:val="en-US"/>
        </w:rPr>
        <w:t>, and</w:t>
      </w:r>
      <w:r w:rsidR="003C23B1">
        <w:rPr>
          <w:rFonts w:ascii="Times New Roman" w:hAnsi="Times New Roman"/>
          <w:sz w:val="24"/>
          <w:szCs w:val="24"/>
          <w:lang w:val="en-US"/>
        </w:rPr>
        <w:t xml:space="preserve"> (2°)</w:t>
      </w:r>
      <w:r>
        <w:rPr>
          <w:rFonts w:ascii="Times New Roman" w:hAnsi="Times New Roman"/>
          <w:sz w:val="24"/>
          <w:szCs w:val="24"/>
          <w:lang w:val="en-US"/>
        </w:rPr>
        <w:t xml:space="preserve"> a dummy (labeled </w:t>
      </w:r>
      <w:r w:rsidRPr="00080773">
        <w:rPr>
          <w:rFonts w:ascii="Times New Roman" w:hAnsi="Times New Roman"/>
          <w:i/>
          <w:sz w:val="24"/>
          <w:szCs w:val="24"/>
          <w:lang w:val="en-US"/>
        </w:rPr>
        <w:t>aware</w:t>
      </w:r>
      <w:r>
        <w:rPr>
          <w:rFonts w:ascii="Times New Roman" w:hAnsi="Times New Roman"/>
          <w:sz w:val="24"/>
          <w:szCs w:val="24"/>
          <w:lang w:val="en-US"/>
        </w:rPr>
        <w:t xml:space="preserve">) </w:t>
      </w:r>
      <w:r w:rsidRPr="00080773">
        <w:rPr>
          <w:rFonts w:ascii="Times New Roman" w:hAnsi="Times New Roman"/>
          <w:sz w:val="24"/>
          <w:szCs w:val="24"/>
          <w:lang w:val="en-US"/>
        </w:rPr>
        <w:t>indicating</w:t>
      </w:r>
      <w:r>
        <w:rPr>
          <w:rFonts w:ascii="Times New Roman" w:hAnsi="Times New Roman"/>
          <w:sz w:val="24"/>
          <w:szCs w:val="24"/>
          <w:lang w:val="en-US"/>
        </w:rPr>
        <w:t xml:space="preserve"> whether the household was aware of the existence of the SSP program w</w:t>
      </w:r>
      <w:r w:rsidR="00624E4B">
        <w:rPr>
          <w:rFonts w:ascii="Times New Roman" w:hAnsi="Times New Roman"/>
          <w:sz w:val="24"/>
          <w:szCs w:val="24"/>
          <w:lang w:val="en-US"/>
        </w:rPr>
        <w:t>hen it was launched or before.</w:t>
      </w:r>
      <w:r w:rsidR="001172B4">
        <w:rPr>
          <w:rStyle w:val="Appelnotedebasdep"/>
          <w:rFonts w:ascii="Times New Roman" w:hAnsi="Times New Roman"/>
          <w:sz w:val="24"/>
          <w:szCs w:val="24"/>
          <w:lang w:val="en-US"/>
        </w:rPr>
        <w:footnoteReference w:id="20"/>
      </w:r>
      <w:r w:rsidR="00624E4B">
        <w:rPr>
          <w:rFonts w:ascii="Times New Roman" w:hAnsi="Times New Roman"/>
          <w:sz w:val="24"/>
          <w:szCs w:val="24"/>
          <w:lang w:val="en-US"/>
        </w:rPr>
        <w:t xml:space="preserve"> We expect t</w:t>
      </w:r>
      <w:r>
        <w:rPr>
          <w:rFonts w:ascii="Times New Roman" w:hAnsi="Times New Roman"/>
          <w:sz w:val="24"/>
          <w:szCs w:val="24"/>
          <w:lang w:val="en-US"/>
        </w:rPr>
        <w:t>he ex</w:t>
      </w:r>
      <w:r w:rsidR="00624E4B">
        <w:rPr>
          <w:rFonts w:ascii="Times New Roman" w:hAnsi="Times New Roman"/>
          <w:sz w:val="24"/>
          <w:szCs w:val="24"/>
          <w:lang w:val="en-US"/>
        </w:rPr>
        <w:t>clusion restriction to be</w:t>
      </w:r>
      <w:r>
        <w:rPr>
          <w:rFonts w:ascii="Times New Roman" w:hAnsi="Times New Roman"/>
          <w:sz w:val="24"/>
          <w:szCs w:val="24"/>
          <w:lang w:val="en-US"/>
        </w:rPr>
        <w:t xml:space="preserve"> satisfied for the first instrument since actual use of the insu</w:t>
      </w:r>
      <w:r w:rsidR="00624E4B">
        <w:rPr>
          <w:rFonts w:ascii="Times New Roman" w:hAnsi="Times New Roman"/>
          <w:sz w:val="24"/>
          <w:szCs w:val="24"/>
          <w:lang w:val="en-US"/>
        </w:rPr>
        <w:t>rance is liable</w:t>
      </w:r>
      <w:r>
        <w:rPr>
          <w:rFonts w:ascii="Times New Roman" w:hAnsi="Times New Roman"/>
          <w:sz w:val="24"/>
          <w:szCs w:val="24"/>
          <w:lang w:val="en-US"/>
        </w:rPr>
        <w:t xml:space="preserve"> to be influenced </w:t>
      </w:r>
      <w:r w:rsidR="003C23B1">
        <w:rPr>
          <w:rFonts w:ascii="Times New Roman" w:hAnsi="Times New Roman"/>
          <w:sz w:val="24"/>
          <w:szCs w:val="24"/>
          <w:lang w:val="en-US"/>
        </w:rPr>
        <w:t>by the household’s level of health and hygiene consciousness</w:t>
      </w:r>
      <w:r>
        <w:rPr>
          <w:rFonts w:ascii="Times New Roman" w:hAnsi="Times New Roman"/>
          <w:sz w:val="24"/>
          <w:szCs w:val="24"/>
          <w:lang w:val="en-US"/>
        </w:rPr>
        <w:t xml:space="preserve"> during the year 2010</w:t>
      </w:r>
      <w:r w:rsidR="003C23B1">
        <w:rPr>
          <w:rFonts w:ascii="Times New Roman" w:hAnsi="Times New Roman"/>
          <w:sz w:val="24"/>
          <w:szCs w:val="24"/>
          <w:lang w:val="en-US"/>
        </w:rPr>
        <w:t>-2011</w:t>
      </w:r>
      <w:r w:rsidR="00624E4B">
        <w:rPr>
          <w:rFonts w:ascii="Times New Roman" w:hAnsi="Times New Roman"/>
          <w:sz w:val="24"/>
          <w:szCs w:val="24"/>
          <w:lang w:val="en-US"/>
        </w:rPr>
        <w:t>,</w:t>
      </w:r>
      <w:r w:rsidR="003C23B1">
        <w:rPr>
          <w:rFonts w:ascii="Times New Roman" w:hAnsi="Times New Roman"/>
          <w:sz w:val="24"/>
          <w:szCs w:val="24"/>
          <w:lang w:val="en-US"/>
        </w:rPr>
        <w:t xml:space="preserve"> and not by the same variable measured for</w:t>
      </w:r>
      <w:r>
        <w:rPr>
          <w:rFonts w:ascii="Times New Roman" w:hAnsi="Times New Roman"/>
          <w:sz w:val="24"/>
          <w:szCs w:val="24"/>
          <w:lang w:val="en-US"/>
        </w:rPr>
        <w:t xml:space="preserve"> the previous year which should have </w:t>
      </w:r>
      <w:r>
        <w:rPr>
          <w:rFonts w:ascii="Times New Roman" w:hAnsi="Times New Roman"/>
          <w:sz w:val="24"/>
          <w:szCs w:val="24"/>
          <w:lang w:val="en-US"/>
        </w:rPr>
        <w:lastRenderedPageBreak/>
        <w:t>influenced the subscription decision instead.</w:t>
      </w:r>
      <w:r>
        <w:rPr>
          <w:rStyle w:val="Appelnotedebasdep"/>
          <w:rFonts w:ascii="Times New Roman" w:hAnsi="Times New Roman"/>
          <w:sz w:val="24"/>
          <w:szCs w:val="24"/>
          <w:lang w:val="en-US"/>
        </w:rPr>
        <w:footnoteReference w:id="21"/>
      </w:r>
      <w:r>
        <w:rPr>
          <w:rFonts w:ascii="Times New Roman" w:hAnsi="Times New Roman"/>
          <w:sz w:val="24"/>
          <w:szCs w:val="24"/>
          <w:lang w:val="en-US"/>
        </w:rPr>
        <w:t xml:space="preserve"> In other words, it is reasona</w:t>
      </w:r>
      <w:r w:rsidR="003C23B1">
        <w:rPr>
          <w:rFonts w:ascii="Times New Roman" w:hAnsi="Times New Roman"/>
          <w:sz w:val="24"/>
          <w:szCs w:val="24"/>
          <w:lang w:val="en-US"/>
        </w:rPr>
        <w:t>ble to assume that the prevention index value</w:t>
      </w:r>
      <w:r>
        <w:rPr>
          <w:rFonts w:ascii="Times New Roman" w:hAnsi="Times New Roman"/>
          <w:sz w:val="24"/>
          <w:szCs w:val="24"/>
          <w:lang w:val="en-US"/>
        </w:rPr>
        <w:t xml:space="preserve"> prior to the start of the program influences actual use of insurance services only through the channel of the subscription decision. Regarding the second instrument, we cannot be entirely certain that the exclusion restriction is theoretically satisfied, yet this is quite likely because we control for information. Finally, we need to mention that, in both the LP and the selection models, the standard errors are clustered at the village level.</w:t>
      </w:r>
    </w:p>
    <w:p w:rsidR="00B71B3E" w:rsidRDefault="00231169" w:rsidP="00516323">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In Table 4</w:t>
      </w:r>
      <w:r w:rsidR="00B71B3E">
        <w:rPr>
          <w:rFonts w:ascii="Times New Roman" w:hAnsi="Times New Roman"/>
          <w:sz w:val="24"/>
          <w:szCs w:val="24"/>
          <w:lang w:val="en-US"/>
        </w:rPr>
        <w:t>, results of the LP model and the Heckman probit selection model (with average marginal effects) are displayed, successively. In this table, the estimates of six different regressions are shown, depending on which information variable we use and on whether we add village fixed effects or not. The first-stage selection equation is reported in the last column of the table.</w:t>
      </w:r>
      <w:r w:rsidR="007E0983">
        <w:rPr>
          <w:rFonts w:ascii="Times New Roman" w:hAnsi="Times New Roman"/>
          <w:sz w:val="24"/>
          <w:szCs w:val="24"/>
          <w:lang w:val="en-US"/>
        </w:rPr>
        <w:t xml:space="preserve"> For the selection model, we only show the results obtained in the absence of village fixed effects.</w:t>
      </w:r>
      <w:r w:rsidR="00B71B3E">
        <w:rPr>
          <w:rFonts w:ascii="Times New Roman" w:hAnsi="Times New Roman"/>
          <w:sz w:val="24"/>
          <w:szCs w:val="24"/>
          <w:lang w:val="en-US"/>
        </w:rPr>
        <w:t xml:space="preserve"> What we see is that whichever is the information variable used the impact on actual use is positive and statistically significant at 99% confidence level. Moreover, </w:t>
      </w:r>
      <w:r w:rsidR="007E0983">
        <w:rPr>
          <w:rFonts w:ascii="Times New Roman" w:hAnsi="Times New Roman"/>
          <w:sz w:val="24"/>
          <w:szCs w:val="24"/>
          <w:lang w:val="en-US"/>
        </w:rPr>
        <w:t xml:space="preserve">when using the LP model, </w:t>
      </w:r>
      <w:r w:rsidR="00B71B3E">
        <w:rPr>
          <w:rFonts w:ascii="Times New Roman" w:hAnsi="Times New Roman"/>
          <w:sz w:val="24"/>
          <w:szCs w:val="24"/>
          <w:lang w:val="en-US"/>
        </w:rPr>
        <w:t xml:space="preserve">the size of the coefficient decreases monotonously as the intensity of information declines (being the highest for </w:t>
      </w:r>
      <w:r w:rsidR="00B71B3E">
        <w:rPr>
          <w:rFonts w:ascii="Times New Roman" w:hAnsi="Times New Roman"/>
          <w:i/>
          <w:sz w:val="24"/>
          <w:szCs w:val="24"/>
          <w:lang w:val="en-US"/>
        </w:rPr>
        <w:t xml:space="preserve">Info=INFO_1 </w:t>
      </w:r>
      <w:r w:rsidR="00B71B3E">
        <w:rPr>
          <w:rFonts w:ascii="Times New Roman" w:hAnsi="Times New Roman"/>
          <w:sz w:val="24"/>
          <w:szCs w:val="24"/>
          <w:lang w:val="en-US"/>
        </w:rPr>
        <w:t xml:space="preserve">and the lowest for </w:t>
      </w:r>
      <w:r w:rsidR="00B71B3E">
        <w:rPr>
          <w:rFonts w:ascii="Times New Roman" w:hAnsi="Times New Roman"/>
          <w:i/>
          <w:sz w:val="24"/>
          <w:szCs w:val="24"/>
          <w:lang w:val="en-US"/>
        </w:rPr>
        <w:t>Info=INFO_3</w:t>
      </w:r>
      <w:r w:rsidR="00B71B3E">
        <w:rPr>
          <w:rFonts w:ascii="Times New Roman" w:hAnsi="Times New Roman"/>
          <w:sz w:val="24"/>
          <w:szCs w:val="24"/>
          <w:lang w:val="en-US"/>
        </w:rPr>
        <w:t xml:space="preserve">). Two additional results deserve to be singled out. First, </w:t>
      </w:r>
      <w:r w:rsidR="00D04000">
        <w:rPr>
          <w:rFonts w:ascii="Times New Roman" w:hAnsi="Times New Roman"/>
          <w:sz w:val="24"/>
          <w:szCs w:val="24"/>
          <w:lang w:val="en-US"/>
        </w:rPr>
        <w:t xml:space="preserve">according to intuition, </w:t>
      </w:r>
      <w:r w:rsidR="00B71B3E">
        <w:rPr>
          <w:rFonts w:ascii="Times New Roman" w:hAnsi="Times New Roman"/>
          <w:sz w:val="24"/>
          <w:szCs w:val="24"/>
          <w:lang w:val="en-US"/>
        </w:rPr>
        <w:t xml:space="preserve">the household is more likely to actually use the insurance services when at least one of its members has fallen sick during the current period (2010-2011). Second, membership in a self-help group also increases the likelihood that these </w:t>
      </w:r>
      <w:r w:rsidR="00D04000">
        <w:rPr>
          <w:rFonts w:ascii="Times New Roman" w:hAnsi="Times New Roman"/>
          <w:sz w:val="24"/>
          <w:szCs w:val="24"/>
          <w:lang w:val="en-US"/>
        </w:rPr>
        <w:t>services are taken advantage of, thus suggesting that members of such groups are better aware of the need to consult with a specialist in the event of a health problem.</w:t>
      </w:r>
    </w:p>
    <w:p w:rsidR="00516323" w:rsidRDefault="00B71B3E" w:rsidP="00516323">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Regarding the selection equation, the results</w:t>
      </w:r>
      <w:r w:rsidR="00D04000">
        <w:rPr>
          <w:rFonts w:ascii="Times New Roman" w:hAnsi="Times New Roman"/>
          <w:sz w:val="24"/>
          <w:szCs w:val="24"/>
          <w:lang w:val="en-US"/>
        </w:rPr>
        <w:t xml:space="preserve"> are as follows. To begin with,</w:t>
      </w:r>
      <w:r w:rsidR="00026348">
        <w:rPr>
          <w:rFonts w:ascii="Times New Roman" w:hAnsi="Times New Roman"/>
          <w:sz w:val="24"/>
          <w:szCs w:val="24"/>
          <w:lang w:val="en-US"/>
        </w:rPr>
        <w:t xml:space="preserve"> the two instruments are statistical</w:t>
      </w:r>
      <w:r>
        <w:rPr>
          <w:rFonts w:ascii="Times New Roman" w:hAnsi="Times New Roman"/>
          <w:sz w:val="24"/>
          <w:szCs w:val="24"/>
          <w:lang w:val="en-US"/>
        </w:rPr>
        <w:t>ly significant with a positive sign: enrolment into the program is more likely i</w:t>
      </w:r>
      <w:r w:rsidR="00026348">
        <w:rPr>
          <w:rFonts w:ascii="Times New Roman" w:hAnsi="Times New Roman"/>
          <w:sz w:val="24"/>
          <w:szCs w:val="24"/>
          <w:lang w:val="en-US"/>
        </w:rPr>
        <w:t>f the househo</w:t>
      </w:r>
      <w:r w:rsidR="007421A0">
        <w:rPr>
          <w:rFonts w:ascii="Times New Roman" w:hAnsi="Times New Roman"/>
          <w:sz w:val="24"/>
          <w:szCs w:val="24"/>
          <w:lang w:val="en-US"/>
        </w:rPr>
        <w:t>ld possessed a higher level of preventive knowledge</w:t>
      </w:r>
      <w:r w:rsidR="00231169">
        <w:rPr>
          <w:rFonts w:ascii="Times New Roman" w:hAnsi="Times New Roman"/>
          <w:sz w:val="24"/>
          <w:szCs w:val="24"/>
          <w:lang w:val="en-US"/>
        </w:rPr>
        <w:t xml:space="preserve"> prior to the start of the insurance</w:t>
      </w:r>
      <w:r>
        <w:rPr>
          <w:rFonts w:ascii="Times New Roman" w:hAnsi="Times New Roman"/>
          <w:sz w:val="24"/>
          <w:szCs w:val="24"/>
          <w:lang w:val="en-US"/>
        </w:rPr>
        <w:t xml:space="preserve"> program, and if it was aware about the existence of the SSP program beforehand. When we test for the validity of the instruments by re-estimating the second-stage equation with the</w:t>
      </w:r>
      <w:r w:rsidR="00AE3647">
        <w:rPr>
          <w:rFonts w:ascii="Times New Roman" w:hAnsi="Times New Roman"/>
          <w:sz w:val="24"/>
          <w:szCs w:val="24"/>
          <w:lang w:val="en-US"/>
        </w:rPr>
        <w:t xml:space="preserve"> instruments included in the list of regressors</w:t>
      </w:r>
      <w:r>
        <w:rPr>
          <w:rFonts w:ascii="Times New Roman" w:hAnsi="Times New Roman"/>
          <w:sz w:val="24"/>
          <w:szCs w:val="24"/>
          <w:lang w:val="en-US"/>
        </w:rPr>
        <w:t xml:space="preserve">, we find that none of them </w:t>
      </w:r>
      <w:r>
        <w:rPr>
          <w:rFonts w:ascii="Times New Roman" w:hAnsi="Times New Roman"/>
          <w:sz w:val="24"/>
          <w:szCs w:val="24"/>
          <w:lang w:val="en-US"/>
        </w:rPr>
        <w:lastRenderedPageBreak/>
        <w:t>turns out to be statistically significant.</w:t>
      </w:r>
      <w:r w:rsidR="00516323">
        <w:rPr>
          <w:rStyle w:val="Appelnotedebasdep"/>
          <w:rFonts w:ascii="Times New Roman" w:hAnsi="Times New Roman"/>
          <w:sz w:val="24"/>
          <w:szCs w:val="24"/>
          <w:lang w:val="en-US"/>
        </w:rPr>
        <w:footnoteReference w:id="22"/>
      </w:r>
      <w:r>
        <w:rPr>
          <w:rFonts w:ascii="Times New Roman" w:hAnsi="Times New Roman"/>
          <w:sz w:val="24"/>
          <w:szCs w:val="24"/>
          <w:lang w:val="en-US"/>
        </w:rPr>
        <w:t xml:space="preserve"> </w:t>
      </w:r>
      <w:r w:rsidR="000922F9">
        <w:rPr>
          <w:rFonts w:ascii="Times New Roman" w:hAnsi="Times New Roman"/>
          <w:sz w:val="24"/>
          <w:szCs w:val="24"/>
          <w:lang w:val="en-US"/>
        </w:rPr>
        <w:t>Second, female heads were more likely to subscribe to the insurance than male heads. Third</w:t>
      </w:r>
      <w:r w:rsidR="00A4204D">
        <w:rPr>
          <w:rFonts w:ascii="Times New Roman" w:hAnsi="Times New Roman"/>
          <w:sz w:val="24"/>
          <w:szCs w:val="24"/>
          <w:lang w:val="en-US"/>
        </w:rPr>
        <w:t>,</w:t>
      </w:r>
      <w:r>
        <w:rPr>
          <w:rFonts w:ascii="Times New Roman" w:hAnsi="Times New Roman"/>
          <w:sz w:val="24"/>
          <w:szCs w:val="24"/>
          <w:lang w:val="en-US"/>
        </w:rPr>
        <w:t xml:space="preserve"> a </w:t>
      </w:r>
      <w:r w:rsidR="00DA2F47">
        <w:rPr>
          <w:rFonts w:ascii="Times New Roman" w:hAnsi="Times New Roman"/>
          <w:sz w:val="24"/>
          <w:szCs w:val="24"/>
          <w:lang w:val="en-US"/>
        </w:rPr>
        <w:t>household had stronger incentive to enroll</w:t>
      </w:r>
      <w:r>
        <w:rPr>
          <w:rFonts w:ascii="Times New Roman" w:hAnsi="Times New Roman"/>
          <w:sz w:val="24"/>
          <w:szCs w:val="24"/>
          <w:lang w:val="en-US"/>
        </w:rPr>
        <w:t xml:space="preserve"> </w:t>
      </w:r>
      <w:r w:rsidRPr="00F0689C">
        <w:rPr>
          <w:rFonts w:ascii="Times New Roman" w:hAnsi="Times New Roman"/>
          <w:sz w:val="24"/>
          <w:szCs w:val="24"/>
          <w:lang w:val="en-US"/>
        </w:rPr>
        <w:t xml:space="preserve">if </w:t>
      </w:r>
      <w:r>
        <w:rPr>
          <w:rFonts w:ascii="Times New Roman" w:hAnsi="Times New Roman"/>
          <w:sz w:val="24"/>
          <w:szCs w:val="24"/>
          <w:lang w:val="en-US"/>
        </w:rPr>
        <w:t>it</w:t>
      </w:r>
      <w:r w:rsidRPr="00F0689C">
        <w:rPr>
          <w:rFonts w:ascii="Times New Roman" w:hAnsi="Times New Roman"/>
          <w:sz w:val="24"/>
          <w:szCs w:val="24"/>
          <w:lang w:val="en-US"/>
        </w:rPr>
        <w:t xml:space="preserve"> participated in a self-help group </w:t>
      </w:r>
      <w:r w:rsidR="002177CD">
        <w:rPr>
          <w:rFonts w:ascii="Times New Roman" w:hAnsi="Times New Roman"/>
          <w:sz w:val="24"/>
          <w:szCs w:val="24"/>
          <w:lang w:val="en-US"/>
        </w:rPr>
        <w:t xml:space="preserve">(SHG) </w:t>
      </w:r>
      <w:r w:rsidRPr="00F0689C">
        <w:rPr>
          <w:rFonts w:ascii="Times New Roman" w:hAnsi="Times New Roman"/>
          <w:sz w:val="24"/>
          <w:szCs w:val="24"/>
          <w:lang w:val="en-US"/>
        </w:rPr>
        <w:t>prior to the start of the program</w:t>
      </w:r>
      <w:r w:rsidR="00A4204D">
        <w:rPr>
          <w:rFonts w:ascii="Times New Roman" w:hAnsi="Times New Roman"/>
          <w:sz w:val="24"/>
          <w:szCs w:val="24"/>
          <w:lang w:val="en-US"/>
        </w:rPr>
        <w:t>. This finding</w:t>
      </w:r>
      <w:r w:rsidR="00231169">
        <w:rPr>
          <w:rFonts w:ascii="Times New Roman" w:hAnsi="Times New Roman"/>
          <w:sz w:val="24"/>
          <w:szCs w:val="24"/>
          <w:lang w:val="en-US"/>
        </w:rPr>
        <w:t xml:space="preserve"> is not surprising since the organization</w:t>
      </w:r>
      <w:r w:rsidR="00A4204D">
        <w:rPr>
          <w:rFonts w:ascii="Times New Roman" w:hAnsi="Times New Roman"/>
          <w:sz w:val="24"/>
          <w:szCs w:val="24"/>
          <w:lang w:val="en-US"/>
        </w:rPr>
        <w:t xml:space="preserve"> in</w:t>
      </w:r>
      <w:r w:rsidR="00516323">
        <w:rPr>
          <w:rFonts w:ascii="Times New Roman" w:hAnsi="Times New Roman"/>
          <w:sz w:val="24"/>
          <w:szCs w:val="24"/>
          <w:lang w:val="en-US"/>
        </w:rPr>
        <w:t xml:space="preserve"> charge</w:t>
      </w:r>
      <w:r w:rsidR="006878FA">
        <w:rPr>
          <w:rFonts w:ascii="Times New Roman" w:hAnsi="Times New Roman"/>
          <w:sz w:val="24"/>
          <w:szCs w:val="24"/>
          <w:lang w:val="en-US"/>
        </w:rPr>
        <w:t>, SSP,</w:t>
      </w:r>
      <w:r w:rsidR="00516323">
        <w:rPr>
          <w:rFonts w:ascii="Times New Roman" w:hAnsi="Times New Roman"/>
          <w:sz w:val="24"/>
          <w:szCs w:val="24"/>
          <w:lang w:val="en-US"/>
        </w:rPr>
        <w:t xml:space="preserve"> used the pre-formed SHG</w:t>
      </w:r>
      <w:r w:rsidR="00A4204D">
        <w:rPr>
          <w:rFonts w:ascii="Times New Roman" w:hAnsi="Times New Roman"/>
          <w:sz w:val="24"/>
          <w:szCs w:val="24"/>
          <w:lang w:val="en-US"/>
        </w:rPr>
        <w:t xml:space="preserve"> as a lever to propagate the idea of health insurance and canvass for customers. </w:t>
      </w:r>
      <w:r w:rsidR="00DA2F47">
        <w:rPr>
          <w:rFonts w:ascii="Times New Roman" w:hAnsi="Times New Roman"/>
          <w:sz w:val="24"/>
          <w:szCs w:val="24"/>
          <w:lang w:val="en-US"/>
        </w:rPr>
        <w:t>(Bear in mind that the leve</w:t>
      </w:r>
      <w:r w:rsidR="00516323">
        <w:rPr>
          <w:rFonts w:ascii="Times New Roman" w:hAnsi="Times New Roman"/>
          <w:sz w:val="24"/>
          <w:szCs w:val="24"/>
          <w:lang w:val="en-US"/>
        </w:rPr>
        <w:t>l of information, like that</w:t>
      </w:r>
      <w:r w:rsidR="00DA2F47">
        <w:rPr>
          <w:rFonts w:ascii="Times New Roman" w:hAnsi="Times New Roman"/>
          <w:sz w:val="24"/>
          <w:szCs w:val="24"/>
          <w:lang w:val="en-US"/>
        </w:rPr>
        <w:t xml:space="preserve"> of understanding, was measured only at the time of the re-survey). </w:t>
      </w:r>
      <w:r w:rsidR="002177CD">
        <w:rPr>
          <w:rFonts w:ascii="Times New Roman" w:hAnsi="Times New Roman"/>
          <w:sz w:val="24"/>
          <w:szCs w:val="24"/>
          <w:lang w:val="en-US"/>
        </w:rPr>
        <w:t xml:space="preserve">It is worth noting that the </w:t>
      </w:r>
      <w:r w:rsidR="002177CD" w:rsidRPr="008E2B0C">
        <w:rPr>
          <w:rFonts w:ascii="Times New Roman" w:hAnsi="Times New Roman"/>
          <w:sz w:val="24"/>
          <w:szCs w:val="24"/>
          <w:lang w:val="en-US"/>
        </w:rPr>
        <w:t>SHG</w:t>
      </w:r>
      <w:r w:rsidR="002177CD">
        <w:rPr>
          <w:rFonts w:ascii="Times New Roman" w:hAnsi="Times New Roman"/>
          <w:i/>
          <w:sz w:val="24"/>
          <w:szCs w:val="24"/>
          <w:lang w:val="en-US"/>
        </w:rPr>
        <w:t xml:space="preserve"> </w:t>
      </w:r>
      <w:r w:rsidR="002177CD">
        <w:rPr>
          <w:rFonts w:ascii="Times New Roman" w:hAnsi="Times New Roman"/>
          <w:sz w:val="24"/>
          <w:szCs w:val="24"/>
          <w:lang w:val="en-US"/>
        </w:rPr>
        <w:t>variable is strongly signifi</w:t>
      </w:r>
      <w:r w:rsidR="00516323">
        <w:rPr>
          <w:rFonts w:ascii="Times New Roman" w:hAnsi="Times New Roman"/>
          <w:sz w:val="24"/>
          <w:szCs w:val="24"/>
          <w:lang w:val="en-US"/>
        </w:rPr>
        <w:t>cant even in the presence of</w:t>
      </w:r>
      <w:r w:rsidR="002177CD">
        <w:rPr>
          <w:rFonts w:ascii="Times New Roman" w:hAnsi="Times New Roman"/>
          <w:sz w:val="24"/>
          <w:szCs w:val="24"/>
          <w:lang w:val="en-US"/>
        </w:rPr>
        <w:t xml:space="preserve"> </w:t>
      </w:r>
      <w:r w:rsidR="002177CD">
        <w:rPr>
          <w:rFonts w:ascii="Times New Roman" w:hAnsi="Times New Roman"/>
          <w:i/>
          <w:sz w:val="24"/>
          <w:szCs w:val="24"/>
          <w:lang w:val="en-US"/>
        </w:rPr>
        <w:t>aware</w:t>
      </w:r>
      <w:r w:rsidR="00516323">
        <w:rPr>
          <w:rFonts w:ascii="Times New Roman" w:hAnsi="Times New Roman"/>
          <w:i/>
          <w:sz w:val="24"/>
          <w:szCs w:val="24"/>
          <w:lang w:val="en-US"/>
        </w:rPr>
        <w:t xml:space="preserve">, </w:t>
      </w:r>
      <w:r w:rsidR="002177CD">
        <w:rPr>
          <w:rFonts w:ascii="Times New Roman" w:hAnsi="Times New Roman"/>
          <w:sz w:val="24"/>
          <w:szCs w:val="24"/>
          <w:lang w:val="en-US"/>
        </w:rPr>
        <w:t xml:space="preserve">itself strongly significant. </w:t>
      </w:r>
      <w:r w:rsidR="00DA2F47">
        <w:rPr>
          <w:rFonts w:ascii="Times New Roman" w:hAnsi="Times New Roman"/>
          <w:sz w:val="24"/>
          <w:szCs w:val="24"/>
          <w:lang w:val="en-US"/>
        </w:rPr>
        <w:t>Four</w:t>
      </w:r>
      <w:r w:rsidR="000922F9">
        <w:rPr>
          <w:rFonts w:ascii="Times New Roman" w:hAnsi="Times New Roman"/>
          <w:sz w:val="24"/>
          <w:szCs w:val="24"/>
          <w:lang w:val="en-US"/>
        </w:rPr>
        <w:t>,</w:t>
      </w:r>
      <w:r w:rsidR="00DA2F47">
        <w:rPr>
          <w:rFonts w:ascii="Times New Roman" w:hAnsi="Times New Roman"/>
          <w:sz w:val="24"/>
          <w:szCs w:val="24"/>
          <w:lang w:val="en-US"/>
        </w:rPr>
        <w:t xml:space="preserve"> richer house</w:t>
      </w:r>
      <w:r w:rsidR="00592C0C">
        <w:rPr>
          <w:rFonts w:ascii="Times New Roman" w:hAnsi="Times New Roman"/>
          <w:sz w:val="24"/>
          <w:szCs w:val="24"/>
          <w:lang w:val="en-US"/>
        </w:rPr>
        <w:t>holds (in terms of wealth</w:t>
      </w:r>
      <w:r w:rsidR="00D710C6">
        <w:rPr>
          <w:rFonts w:ascii="Times New Roman" w:hAnsi="Times New Roman"/>
          <w:sz w:val="24"/>
          <w:szCs w:val="24"/>
          <w:lang w:val="en-US"/>
        </w:rPr>
        <w:t>) were more willing</w:t>
      </w:r>
      <w:r w:rsidR="00DA2F47">
        <w:rPr>
          <w:rFonts w:ascii="Times New Roman" w:hAnsi="Times New Roman"/>
          <w:sz w:val="24"/>
          <w:szCs w:val="24"/>
          <w:lang w:val="en-US"/>
        </w:rPr>
        <w:t xml:space="preserve"> to get insured than poorer ones.</w:t>
      </w:r>
      <w:r w:rsidR="000922F9">
        <w:rPr>
          <w:rFonts w:ascii="Times New Roman" w:hAnsi="Times New Roman"/>
          <w:sz w:val="24"/>
          <w:szCs w:val="24"/>
          <w:lang w:val="en-US"/>
        </w:rPr>
        <w:t xml:space="preserve"> </w:t>
      </w:r>
      <w:r w:rsidR="00DA2F47">
        <w:rPr>
          <w:rFonts w:ascii="Times New Roman" w:hAnsi="Times New Roman"/>
          <w:sz w:val="24"/>
          <w:szCs w:val="24"/>
          <w:lang w:val="en-US"/>
        </w:rPr>
        <w:t>If, instead of measuring assets and incomes continuously, we use the tertile distributions, we now find that households belonging to the lowest tertile for both the inc</w:t>
      </w:r>
      <w:r w:rsidR="00944385">
        <w:rPr>
          <w:rFonts w:ascii="Times New Roman" w:hAnsi="Times New Roman"/>
          <w:sz w:val="24"/>
          <w:szCs w:val="24"/>
          <w:lang w:val="en-US"/>
        </w:rPr>
        <w:t>ome and the asset distributions</w:t>
      </w:r>
      <w:r w:rsidR="00DA2F47">
        <w:rPr>
          <w:rFonts w:ascii="Times New Roman" w:hAnsi="Times New Roman"/>
          <w:sz w:val="24"/>
          <w:szCs w:val="24"/>
          <w:lang w:val="en-US"/>
        </w:rPr>
        <w:t xml:space="preserve"> are less</w:t>
      </w:r>
      <w:r w:rsidR="00DA2F47" w:rsidRPr="00DE2115">
        <w:rPr>
          <w:rFonts w:ascii="Times New Roman" w:hAnsi="Times New Roman"/>
          <w:sz w:val="24"/>
          <w:szCs w:val="24"/>
          <w:lang w:val="en-US"/>
        </w:rPr>
        <w:t xml:space="preserve"> </w:t>
      </w:r>
      <w:r w:rsidR="00DA2F47">
        <w:rPr>
          <w:rFonts w:ascii="Times New Roman" w:hAnsi="Times New Roman"/>
          <w:sz w:val="24"/>
          <w:szCs w:val="24"/>
          <w:lang w:val="en-US"/>
        </w:rPr>
        <w:t>likely to have enrolled into the insurance program, testifying to its exclusionary character vis-à-</w:t>
      </w:r>
      <w:r w:rsidR="00516323">
        <w:rPr>
          <w:rFonts w:ascii="Times New Roman" w:hAnsi="Times New Roman"/>
          <w:sz w:val="24"/>
          <w:szCs w:val="24"/>
          <w:lang w:val="en-US"/>
        </w:rPr>
        <w:t>vis the poorest households (effects</w:t>
      </w:r>
      <w:r w:rsidR="00DA2F47">
        <w:rPr>
          <w:rFonts w:ascii="Times New Roman" w:hAnsi="Times New Roman"/>
          <w:sz w:val="24"/>
          <w:szCs w:val="24"/>
          <w:lang w:val="en-US"/>
        </w:rPr>
        <w:t xml:space="preserve"> significant at the 95 percent confidence level ─results not shown). Excluded households turn out to be very poor since the threshold marking the lowest tertile of the distribution (median value = 260 Rs) is significantly smaller than the poverty line in India (equal to 673 Rs).</w:t>
      </w:r>
      <w:r w:rsidR="00DA2F47">
        <w:rPr>
          <w:rStyle w:val="Appelnotedebasdep"/>
          <w:rFonts w:ascii="Times New Roman" w:hAnsi="Times New Roman"/>
          <w:sz w:val="24"/>
          <w:szCs w:val="24"/>
          <w:lang w:val="en-US"/>
        </w:rPr>
        <w:footnoteReference w:id="23"/>
      </w:r>
      <w:r w:rsidR="00DA2F47">
        <w:rPr>
          <w:rFonts w:ascii="Times New Roman" w:hAnsi="Times New Roman"/>
          <w:sz w:val="24"/>
          <w:szCs w:val="24"/>
          <w:lang w:val="en-US"/>
        </w:rPr>
        <w:t xml:space="preserve"> </w:t>
      </w:r>
    </w:p>
    <w:p w:rsidR="00961DC0" w:rsidRPr="00961DC0" w:rsidRDefault="00961DC0" w:rsidP="00961DC0">
      <w:pPr>
        <w:keepNext/>
        <w:keepLines/>
        <w:spacing w:after="240" w:line="360" w:lineRule="auto"/>
        <w:ind w:firstLine="426"/>
        <w:jc w:val="center"/>
        <w:rPr>
          <w:rFonts w:ascii="Times New Roman" w:hAnsi="Times New Roman"/>
          <w:b/>
          <w:sz w:val="24"/>
          <w:szCs w:val="24"/>
          <w:lang w:val="en-US"/>
        </w:rPr>
      </w:pPr>
      <w:r>
        <w:rPr>
          <w:rFonts w:ascii="Times New Roman" w:hAnsi="Times New Roman"/>
          <w:i/>
          <w:sz w:val="24"/>
          <w:szCs w:val="24"/>
          <w:lang w:val="en-US"/>
        </w:rPr>
        <w:lastRenderedPageBreak/>
        <w:t>Table 4</w:t>
      </w:r>
      <w:r w:rsidRPr="00EE1F4B">
        <w:rPr>
          <w:rFonts w:ascii="Times New Roman" w:hAnsi="Times New Roman"/>
          <w:i/>
          <w:sz w:val="24"/>
          <w:szCs w:val="24"/>
          <w:lang w:val="en-US"/>
        </w:rPr>
        <w:t>: Determinants of actual use of insurance services</w:t>
      </w:r>
    </w:p>
    <w:bookmarkStart w:id="1" w:name="_MON_1426486270"/>
    <w:bookmarkEnd w:id="1"/>
    <w:p w:rsidR="00B71B3E" w:rsidRDefault="0051669B" w:rsidP="00961DC0">
      <w:pPr>
        <w:keepNext/>
        <w:keepLines/>
        <w:spacing w:after="240" w:line="360" w:lineRule="auto"/>
        <w:jc w:val="center"/>
        <w:rPr>
          <w:rFonts w:ascii="Times New Roman" w:hAnsi="Times New Roman"/>
          <w:sz w:val="24"/>
          <w:szCs w:val="24"/>
          <w:lang w:val="en-US"/>
        </w:rPr>
      </w:pPr>
      <w:r>
        <w:object w:dxaOrig="10832" w:dyaOrig="10420">
          <v:shape id="_x0000_i1039" type="#_x0000_t75" style="width:453.2pt;height:471.55pt" o:ole="">
            <v:imagedata r:id="rId25" o:title=""/>
          </v:shape>
          <o:OLEObject Type="Embed" ProgID="Excel.Sheet.12" ShapeID="_x0000_i1039" DrawAspect="Content" ObjectID="_1431905103" r:id="rId26"/>
        </w:object>
      </w:r>
    </w:p>
    <w:p w:rsidR="00516323" w:rsidRDefault="00516323" w:rsidP="00516323">
      <w:pPr>
        <w:spacing w:after="240" w:line="360" w:lineRule="auto"/>
        <w:ind w:left="360"/>
        <w:jc w:val="both"/>
        <w:rPr>
          <w:rFonts w:ascii="Times New Roman" w:hAnsi="Times New Roman"/>
          <w:b/>
          <w:i/>
          <w:sz w:val="24"/>
          <w:szCs w:val="24"/>
          <w:lang w:val="en-US"/>
        </w:rPr>
      </w:pPr>
    </w:p>
    <w:p w:rsidR="00B71B3E" w:rsidRDefault="00B71B3E" w:rsidP="00516323">
      <w:pPr>
        <w:numPr>
          <w:ilvl w:val="1"/>
          <w:numId w:val="21"/>
        </w:numPr>
        <w:spacing w:after="240" w:line="360" w:lineRule="auto"/>
        <w:jc w:val="both"/>
        <w:rPr>
          <w:rFonts w:ascii="Times New Roman" w:hAnsi="Times New Roman"/>
          <w:b/>
          <w:i/>
          <w:sz w:val="24"/>
          <w:szCs w:val="24"/>
          <w:lang w:val="en-US"/>
        </w:rPr>
      </w:pPr>
      <w:r>
        <w:rPr>
          <w:rFonts w:ascii="Times New Roman" w:hAnsi="Times New Roman"/>
          <w:b/>
          <w:i/>
          <w:sz w:val="24"/>
          <w:szCs w:val="24"/>
          <w:lang w:val="en-US"/>
        </w:rPr>
        <w:t>Determinants of contract renewal and satisfaction level</w:t>
      </w:r>
    </w:p>
    <w:p w:rsidR="00B71B3E"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In this subsection, since the list of the independent variables is identical in both cases, we discuss the regressions intended to explain variations in </w:t>
      </w:r>
      <w:r w:rsidR="00761E30">
        <w:rPr>
          <w:rFonts w:ascii="Times New Roman" w:hAnsi="Times New Roman"/>
          <w:sz w:val="24"/>
          <w:szCs w:val="24"/>
          <w:lang w:val="en-US"/>
        </w:rPr>
        <w:t xml:space="preserve">contract renewal and satisfaction level </w:t>
      </w:r>
      <w:r>
        <w:rPr>
          <w:rFonts w:ascii="Times New Roman" w:hAnsi="Times New Roman"/>
          <w:sz w:val="24"/>
          <w:szCs w:val="24"/>
          <w:lang w:val="en-US"/>
        </w:rPr>
        <w:t>together</w:t>
      </w:r>
      <w:r w:rsidR="00761E30">
        <w:rPr>
          <w:rFonts w:ascii="Times New Roman" w:hAnsi="Times New Roman"/>
          <w:sz w:val="24"/>
          <w:szCs w:val="24"/>
          <w:lang w:val="en-US"/>
        </w:rPr>
        <w:t>, but primary emphasis is put on the former</w:t>
      </w:r>
      <w:r>
        <w:rPr>
          <w:rFonts w:ascii="Times New Roman" w:hAnsi="Times New Roman"/>
          <w:sz w:val="24"/>
          <w:szCs w:val="24"/>
          <w:lang w:val="en-US"/>
        </w:rPr>
        <w:t>. The first model that we estimate to explain such variations is the following linear probability model:</w:t>
      </w:r>
    </w:p>
    <w:p w:rsidR="00B71B3E" w:rsidRDefault="00B71B3E" w:rsidP="00B71B3E">
      <w:pPr>
        <w:spacing w:after="240" w:line="360" w:lineRule="auto"/>
        <w:ind w:firstLine="426"/>
        <w:jc w:val="both"/>
        <w:rPr>
          <w:rFonts w:ascii="Times New Roman" w:hAnsi="Times New Roman"/>
          <w:sz w:val="24"/>
          <w:szCs w:val="24"/>
          <w:lang w:val="en-US"/>
        </w:rPr>
      </w:pPr>
      <w:r w:rsidRPr="00E87F80">
        <w:rPr>
          <w:rFonts w:ascii="Times New Roman" w:hAnsi="Times New Roman"/>
          <w:sz w:val="24"/>
          <w:szCs w:val="24"/>
          <w:lang w:val="en-US"/>
        </w:rPr>
        <w:object w:dxaOrig="9072" w:dyaOrig="1171">
          <v:shape id="_x0000_i1040" type="#_x0000_t75" style="width:454.6pt;height:59.3pt" o:ole="">
            <v:imagedata r:id="rId27" o:title=""/>
          </v:shape>
          <o:OLEObject Type="Embed" ProgID="Word.Document.12" ShapeID="_x0000_i1040" DrawAspect="Content" ObjectID="_1431905104" r:id="rId28">
            <o:FieldCodes>\s</o:FieldCodes>
          </o:OLEObject>
        </w:object>
      </w:r>
      <w:r>
        <w:rPr>
          <w:rFonts w:ascii="Times New Roman" w:hAnsi="Times New Roman"/>
          <w:sz w:val="24"/>
          <w:szCs w:val="24"/>
          <w:lang w:val="en-US"/>
        </w:rPr>
        <w:tab/>
        <w:t xml:space="preserve">The dependent variable is either </w:t>
      </w:r>
      <w:r>
        <w:rPr>
          <w:rFonts w:ascii="Times New Roman" w:hAnsi="Times New Roman"/>
          <w:i/>
          <w:sz w:val="24"/>
          <w:szCs w:val="24"/>
          <w:lang w:val="en-US"/>
        </w:rPr>
        <w:t>renewal</w:t>
      </w:r>
      <w:r>
        <w:rPr>
          <w:rFonts w:ascii="Times New Roman" w:hAnsi="Times New Roman"/>
          <w:i/>
          <w:sz w:val="24"/>
          <w:szCs w:val="24"/>
          <w:vertAlign w:val="subscript"/>
          <w:lang w:val="en-US"/>
        </w:rPr>
        <w:t>iv</w:t>
      </w:r>
      <w:r>
        <w:rPr>
          <w:rFonts w:ascii="Times New Roman" w:hAnsi="Times New Roman"/>
          <w:i/>
          <w:sz w:val="24"/>
          <w:szCs w:val="24"/>
          <w:lang w:val="en-US"/>
        </w:rPr>
        <w:t>,</w:t>
      </w:r>
      <w:r>
        <w:rPr>
          <w:rFonts w:ascii="Times New Roman" w:hAnsi="Times New Roman"/>
          <w:sz w:val="24"/>
          <w:szCs w:val="24"/>
          <w:lang w:val="en-US"/>
        </w:rPr>
        <w:t xml:space="preserve"> a dummy equal to one if the household has chosen to renew its insurance contract, or </w:t>
      </w:r>
      <w:r>
        <w:rPr>
          <w:rFonts w:ascii="Times New Roman" w:hAnsi="Times New Roman"/>
          <w:i/>
          <w:sz w:val="24"/>
          <w:szCs w:val="24"/>
          <w:lang w:val="en-US"/>
        </w:rPr>
        <w:t>satisfaction</w:t>
      </w:r>
      <w:r>
        <w:rPr>
          <w:rFonts w:ascii="Times New Roman" w:hAnsi="Times New Roman"/>
          <w:i/>
          <w:sz w:val="24"/>
          <w:szCs w:val="24"/>
          <w:vertAlign w:val="subscript"/>
          <w:lang w:val="en-US"/>
        </w:rPr>
        <w:t>iv</w:t>
      </w:r>
      <w:r>
        <w:rPr>
          <w:rFonts w:ascii="Times New Roman" w:hAnsi="Times New Roman"/>
          <w:i/>
          <w:sz w:val="24"/>
          <w:szCs w:val="24"/>
          <w:lang w:val="en-US"/>
        </w:rPr>
        <w:t xml:space="preserve">, </w:t>
      </w:r>
      <w:r>
        <w:rPr>
          <w:rFonts w:ascii="Times New Roman" w:hAnsi="Times New Roman"/>
          <w:sz w:val="24"/>
          <w:szCs w:val="24"/>
          <w:lang w:val="en-US"/>
        </w:rPr>
        <w:t xml:space="preserve">another dummy equal to one if the household has expressed (strong) satisfaction about the program and to zero if it has expressed (strong) disappointment. Compared to the model presented in the previous subsection, three new independent variables appear in the above model. The first one is </w:t>
      </w:r>
      <w:r>
        <w:rPr>
          <w:rFonts w:ascii="Times New Roman" w:hAnsi="Times New Roman"/>
          <w:i/>
          <w:sz w:val="24"/>
          <w:szCs w:val="24"/>
          <w:lang w:val="en-US"/>
        </w:rPr>
        <w:t>Und</w:t>
      </w:r>
      <w:r>
        <w:rPr>
          <w:rFonts w:ascii="Times New Roman" w:hAnsi="Times New Roman"/>
          <w:i/>
          <w:sz w:val="24"/>
          <w:szCs w:val="24"/>
          <w:vertAlign w:val="subscript"/>
          <w:lang w:val="en-US"/>
        </w:rPr>
        <w:t>iv</w:t>
      </w:r>
      <w:r>
        <w:rPr>
          <w:rFonts w:ascii="Times New Roman" w:hAnsi="Times New Roman"/>
          <w:i/>
          <w:sz w:val="24"/>
          <w:szCs w:val="24"/>
          <w:lang w:val="en-US"/>
        </w:rPr>
        <w:t>,</w:t>
      </w:r>
      <w:r>
        <w:rPr>
          <w:rFonts w:ascii="Times New Roman" w:hAnsi="Times New Roman"/>
          <w:sz w:val="24"/>
          <w:szCs w:val="24"/>
          <w:lang w:val="en-US"/>
        </w:rPr>
        <w:t xml:space="preserve"> our measure of the household’s level of understanding of the insurance concept, whether UND</w:t>
      </w:r>
      <w:r w:rsidRPr="008C71FC">
        <w:rPr>
          <w:rFonts w:ascii="Times New Roman" w:hAnsi="Times New Roman"/>
          <w:sz w:val="24"/>
          <w:szCs w:val="24"/>
          <w:lang w:val="en-US"/>
        </w:rPr>
        <w:t xml:space="preserve">_1, </w:t>
      </w:r>
      <w:r>
        <w:rPr>
          <w:rFonts w:ascii="Times New Roman" w:hAnsi="Times New Roman"/>
          <w:sz w:val="24"/>
          <w:szCs w:val="24"/>
          <w:lang w:val="en-US"/>
        </w:rPr>
        <w:t>UND</w:t>
      </w:r>
      <w:r w:rsidRPr="008C71FC">
        <w:rPr>
          <w:rFonts w:ascii="Times New Roman" w:hAnsi="Times New Roman"/>
          <w:sz w:val="24"/>
          <w:szCs w:val="24"/>
          <w:lang w:val="en-US"/>
        </w:rPr>
        <w:t xml:space="preserve">_2, or </w:t>
      </w:r>
      <w:r>
        <w:rPr>
          <w:rFonts w:ascii="Times New Roman" w:hAnsi="Times New Roman"/>
          <w:sz w:val="24"/>
          <w:szCs w:val="24"/>
          <w:lang w:val="en-US"/>
        </w:rPr>
        <w:t>UND</w:t>
      </w:r>
      <w:r w:rsidRPr="008C71FC">
        <w:rPr>
          <w:rFonts w:ascii="Times New Roman" w:hAnsi="Times New Roman"/>
          <w:sz w:val="24"/>
          <w:szCs w:val="24"/>
          <w:lang w:val="en-US"/>
        </w:rPr>
        <w:t>_3</w:t>
      </w:r>
      <w:r>
        <w:rPr>
          <w:rFonts w:ascii="Times New Roman" w:hAnsi="Times New Roman"/>
          <w:sz w:val="24"/>
          <w:szCs w:val="24"/>
          <w:lang w:val="en-US"/>
        </w:rPr>
        <w:t xml:space="preserve">. The </w:t>
      </w:r>
      <w:r w:rsidRPr="001E4EAE">
        <w:rPr>
          <w:rFonts w:ascii="Times New Roman" w:hAnsi="Times New Roman"/>
          <w:sz w:val="24"/>
          <w:szCs w:val="24"/>
          <w:lang w:val="en-US"/>
        </w:rPr>
        <w:t>second variable is</w:t>
      </w:r>
      <w:r>
        <w:rPr>
          <w:rFonts w:ascii="Times New Roman" w:hAnsi="Times New Roman"/>
          <w:sz w:val="24"/>
          <w:szCs w:val="24"/>
          <w:lang w:val="en-US"/>
        </w:rPr>
        <w:t xml:space="preserve"> </w:t>
      </w:r>
      <w:r w:rsidR="00122BD9">
        <w:rPr>
          <w:rFonts w:ascii="Times New Roman" w:hAnsi="Times New Roman"/>
          <w:i/>
          <w:sz w:val="24"/>
          <w:szCs w:val="24"/>
          <w:lang w:val="en-US"/>
        </w:rPr>
        <w:t>p</w:t>
      </w:r>
      <w:r>
        <w:rPr>
          <w:rFonts w:ascii="Times New Roman" w:hAnsi="Times New Roman"/>
          <w:i/>
          <w:sz w:val="24"/>
          <w:szCs w:val="24"/>
          <w:lang w:val="en-US"/>
        </w:rPr>
        <w:t>ayout</w:t>
      </w:r>
      <w:r>
        <w:rPr>
          <w:rFonts w:ascii="Times New Roman" w:hAnsi="Times New Roman"/>
          <w:i/>
          <w:sz w:val="24"/>
          <w:szCs w:val="24"/>
          <w:vertAlign w:val="subscript"/>
          <w:lang w:val="en-US"/>
        </w:rPr>
        <w:t>iv</w:t>
      </w:r>
      <w:r>
        <w:rPr>
          <w:rFonts w:ascii="Times New Roman" w:hAnsi="Times New Roman"/>
          <w:i/>
          <w:sz w:val="24"/>
          <w:szCs w:val="24"/>
          <w:lang w:val="en-US"/>
        </w:rPr>
        <w:t xml:space="preserve">, </w:t>
      </w:r>
      <w:r>
        <w:rPr>
          <w:rFonts w:ascii="Times New Roman" w:hAnsi="Times New Roman"/>
          <w:sz w:val="24"/>
          <w:szCs w:val="24"/>
          <w:lang w:val="en-US"/>
        </w:rPr>
        <w:t>which measures the amount of the net insurance payout accrued to the household at the end of the period 2010-2011. We use different versions of this variable, such as a continuous variable constructed in such a way that all values equal to or higher than zero are set to zero (to prevent the mixing up of positive and negative values that complicates the interpretation of the interaction term mentioned below), a binary variable with value one if the net insurance payout has been negative (and zero if it has been positive or nil), a binary variable with value one if the net payout has been lower than the median value (equal to -450 Rs), and value zero if it has been higher, or similar variables in which the threshold is different from the median (for example, a critical value</w:t>
      </w:r>
      <w:r w:rsidR="009B0000">
        <w:rPr>
          <w:rFonts w:ascii="Times New Roman" w:hAnsi="Times New Roman"/>
          <w:sz w:val="24"/>
          <w:szCs w:val="24"/>
          <w:lang w:val="en-US"/>
        </w:rPr>
        <w:t xml:space="preserve"> corresponding to the first tert</w:t>
      </w:r>
      <w:r>
        <w:rPr>
          <w:rFonts w:ascii="Times New Roman" w:hAnsi="Times New Roman"/>
          <w:sz w:val="24"/>
          <w:szCs w:val="24"/>
          <w:lang w:val="en-US"/>
        </w:rPr>
        <w:t xml:space="preserve">ile of the distribution so that value one is assigned to any household belonging to the one-third of households exhibiting the lowest values of the negative net payout). Finally, the third new independent variable is the interaction between </w:t>
      </w:r>
      <w:r>
        <w:rPr>
          <w:rFonts w:ascii="Times New Roman" w:hAnsi="Times New Roman"/>
          <w:i/>
          <w:sz w:val="24"/>
          <w:szCs w:val="24"/>
          <w:lang w:val="en-US"/>
        </w:rPr>
        <w:t>Und</w:t>
      </w:r>
      <w:r>
        <w:rPr>
          <w:rFonts w:ascii="Times New Roman" w:hAnsi="Times New Roman"/>
          <w:i/>
          <w:sz w:val="24"/>
          <w:szCs w:val="24"/>
          <w:vertAlign w:val="subscript"/>
          <w:lang w:val="en-US"/>
        </w:rPr>
        <w:t>iv</w:t>
      </w:r>
      <w:r>
        <w:rPr>
          <w:rFonts w:ascii="Times New Roman" w:hAnsi="Times New Roman"/>
          <w:sz w:val="24"/>
          <w:szCs w:val="24"/>
          <w:lang w:val="en-US"/>
        </w:rPr>
        <w:t xml:space="preserve"> and </w:t>
      </w:r>
      <w:r w:rsidR="00122BD9">
        <w:rPr>
          <w:rFonts w:ascii="Times New Roman" w:hAnsi="Times New Roman"/>
          <w:i/>
          <w:sz w:val="24"/>
          <w:szCs w:val="24"/>
          <w:lang w:val="en-US"/>
        </w:rPr>
        <w:t>p</w:t>
      </w:r>
      <w:r>
        <w:rPr>
          <w:rFonts w:ascii="Times New Roman" w:hAnsi="Times New Roman"/>
          <w:i/>
          <w:sz w:val="24"/>
          <w:szCs w:val="24"/>
          <w:lang w:val="en-US"/>
        </w:rPr>
        <w:t>ayout</w:t>
      </w:r>
      <w:r>
        <w:rPr>
          <w:rFonts w:ascii="Times New Roman" w:hAnsi="Times New Roman"/>
          <w:i/>
          <w:sz w:val="24"/>
          <w:szCs w:val="24"/>
          <w:vertAlign w:val="subscript"/>
          <w:lang w:val="en-US"/>
        </w:rPr>
        <w:t>iv</w:t>
      </w:r>
      <w:r>
        <w:rPr>
          <w:rFonts w:ascii="Times New Roman" w:hAnsi="Times New Roman"/>
          <w:sz w:val="24"/>
          <w:szCs w:val="24"/>
          <w:lang w:val="en-US"/>
        </w:rPr>
        <w:t>, which provides a critical test of the hypothesis at the core of this paper. We expect that the signs of β, λ, and ω are positive, and the sign of σ is negative.</w:t>
      </w:r>
    </w:p>
    <w:p w:rsidR="00B71B3E" w:rsidRPr="00F00B62"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In an alternative specification of the above model, we test whether the contract renewal decision or satisfaction with the program is influenced by a peer effect.</w:t>
      </w:r>
      <w:r w:rsidR="007844C3">
        <w:rPr>
          <w:rStyle w:val="Appelnotedebasdep"/>
          <w:rFonts w:ascii="Times New Roman" w:hAnsi="Times New Roman"/>
          <w:sz w:val="24"/>
          <w:szCs w:val="24"/>
          <w:lang w:val="en-US"/>
        </w:rPr>
        <w:footnoteReference w:id="24"/>
      </w:r>
      <w:r>
        <w:rPr>
          <w:rFonts w:ascii="Times New Roman" w:hAnsi="Times New Roman"/>
          <w:sz w:val="24"/>
          <w:szCs w:val="24"/>
          <w:lang w:val="en-US"/>
        </w:rPr>
        <w:t xml:space="preserve"> Toward that purpose, we define a new independent (binary) variable indicating the presence of a relative or friend who has opted out of the program, denoted by </w:t>
      </w:r>
      <w:r>
        <w:rPr>
          <w:rFonts w:ascii="Times New Roman" w:hAnsi="Times New Roman"/>
          <w:i/>
          <w:sz w:val="24"/>
          <w:szCs w:val="24"/>
          <w:lang w:val="en-US"/>
        </w:rPr>
        <w:t>peer_effect</w:t>
      </w:r>
      <w:r>
        <w:rPr>
          <w:rFonts w:ascii="Times New Roman" w:hAnsi="Times New Roman"/>
          <w:i/>
          <w:sz w:val="24"/>
          <w:szCs w:val="24"/>
          <w:vertAlign w:val="subscript"/>
          <w:lang w:val="en-US"/>
        </w:rPr>
        <w:t>iv</w:t>
      </w:r>
      <w:r>
        <w:rPr>
          <w:rFonts w:ascii="Times New Roman" w:hAnsi="Times New Roman"/>
          <w:sz w:val="24"/>
          <w:szCs w:val="24"/>
          <w:lang w:val="en-US"/>
        </w:rPr>
        <w:t xml:space="preserve">. In a manner analogous to that mentioned above, we then also add an interaction term between  </w:t>
      </w:r>
      <w:r>
        <w:rPr>
          <w:rFonts w:ascii="Times New Roman" w:hAnsi="Times New Roman"/>
          <w:i/>
          <w:sz w:val="24"/>
          <w:szCs w:val="24"/>
          <w:lang w:val="en-US"/>
        </w:rPr>
        <w:t>Und</w:t>
      </w:r>
      <w:r>
        <w:rPr>
          <w:rFonts w:ascii="Times New Roman" w:hAnsi="Times New Roman"/>
          <w:i/>
          <w:sz w:val="24"/>
          <w:szCs w:val="24"/>
          <w:vertAlign w:val="subscript"/>
          <w:lang w:val="en-US"/>
        </w:rPr>
        <w:t>iv</w:t>
      </w:r>
      <w:r>
        <w:rPr>
          <w:rFonts w:ascii="Times New Roman" w:hAnsi="Times New Roman"/>
          <w:sz w:val="24"/>
          <w:szCs w:val="24"/>
          <w:lang w:val="en-US"/>
        </w:rPr>
        <w:t xml:space="preserve"> and </w:t>
      </w:r>
      <w:r>
        <w:rPr>
          <w:rFonts w:ascii="Times New Roman" w:hAnsi="Times New Roman"/>
          <w:i/>
          <w:sz w:val="24"/>
          <w:szCs w:val="24"/>
          <w:lang w:val="en-US"/>
        </w:rPr>
        <w:t>peer_effect</w:t>
      </w:r>
      <w:r>
        <w:rPr>
          <w:rFonts w:ascii="Times New Roman" w:hAnsi="Times New Roman"/>
          <w:i/>
          <w:sz w:val="24"/>
          <w:szCs w:val="24"/>
          <w:vertAlign w:val="subscript"/>
          <w:lang w:val="en-US"/>
        </w:rPr>
        <w:t>iv</w:t>
      </w:r>
      <w:r>
        <w:rPr>
          <w:rFonts w:ascii="Times New Roman" w:hAnsi="Times New Roman"/>
          <w:i/>
          <w:sz w:val="24"/>
          <w:szCs w:val="24"/>
          <w:lang w:val="en-US"/>
        </w:rPr>
        <w:t xml:space="preserve">. </w:t>
      </w:r>
      <w:r>
        <w:rPr>
          <w:rFonts w:ascii="Times New Roman" w:hAnsi="Times New Roman"/>
          <w:sz w:val="24"/>
          <w:szCs w:val="24"/>
          <w:lang w:val="en-US"/>
        </w:rPr>
        <w:t xml:space="preserve">We expect the sign of </w:t>
      </w:r>
      <w:r>
        <w:rPr>
          <w:rFonts w:ascii="Times New Roman" w:hAnsi="Times New Roman"/>
          <w:i/>
          <w:sz w:val="24"/>
          <w:szCs w:val="24"/>
          <w:lang w:val="en-US"/>
        </w:rPr>
        <w:t>peer_effect</w:t>
      </w:r>
      <w:r>
        <w:rPr>
          <w:rFonts w:ascii="Times New Roman" w:hAnsi="Times New Roman"/>
          <w:i/>
          <w:sz w:val="24"/>
          <w:szCs w:val="24"/>
          <w:vertAlign w:val="subscript"/>
          <w:lang w:val="en-US"/>
        </w:rPr>
        <w:t>iv</w:t>
      </w:r>
      <w:r>
        <w:rPr>
          <w:rFonts w:ascii="Times New Roman" w:hAnsi="Times New Roman"/>
          <w:sz w:val="24"/>
          <w:szCs w:val="24"/>
          <w:lang w:val="en-US"/>
        </w:rPr>
        <w:t xml:space="preserve"> to be negative and that of the new interaction term to be positive.</w:t>
      </w:r>
    </w:p>
    <w:p w:rsidR="00B71B3E" w:rsidRPr="00F56076" w:rsidRDefault="00B71B3E" w:rsidP="00B71B3E">
      <w:pPr>
        <w:spacing w:after="240" w:line="360" w:lineRule="auto"/>
        <w:ind w:firstLine="426"/>
        <w:jc w:val="both"/>
        <w:rPr>
          <w:rFonts w:ascii="Times New Roman" w:hAnsi="Times New Roman"/>
          <w:sz w:val="28"/>
          <w:szCs w:val="24"/>
          <w:lang w:val="en-US"/>
        </w:rPr>
      </w:pPr>
      <w:r>
        <w:rPr>
          <w:rFonts w:ascii="Times New Roman" w:hAnsi="Times New Roman"/>
          <w:sz w:val="24"/>
          <w:szCs w:val="24"/>
          <w:lang w:val="en-US"/>
        </w:rPr>
        <w:lastRenderedPageBreak/>
        <w:t>We do not believe that endogeneity of the information and understanding variables is a real problem in the context of this study. It is, indeed, difficult to imagine that households which are expected to renew their insurance contract would more actively seek information about the product and the scheme or make efforts to better understand the notion of insurance. It is conceivable that such households would have put in more efforts to improve their state of knowledge and understanding when making their decision about whether to subscribe or not to the insurance contract, but it is hard to see why they would do so once they have subscribed and they consider whether to renew that contract. Moreover, we have pointed out earlier that information failures seem to be essentially driven by problems on the supply side. In particular, there is no correlation between health status and information. What we may add now is that there is no correlation between health status and understanding either. Thus, for example, the proportion of households with at least one health event during the year 2010-2011 for which UND_2=1 does not significantly differ from the proportion of those with no health event.</w:t>
      </w:r>
      <w:r>
        <w:rPr>
          <w:rStyle w:val="Appelnotedebasdep"/>
          <w:rFonts w:ascii="Times New Roman" w:hAnsi="Times New Roman"/>
          <w:sz w:val="24"/>
          <w:szCs w:val="24"/>
          <w:lang w:val="en-US"/>
        </w:rPr>
        <w:footnoteReference w:id="25"/>
      </w:r>
      <w:r>
        <w:rPr>
          <w:rFonts w:ascii="Times New Roman" w:hAnsi="Times New Roman"/>
          <w:sz w:val="24"/>
          <w:szCs w:val="24"/>
          <w:lang w:val="en-US"/>
        </w:rPr>
        <w:t xml:space="preserve"> </w:t>
      </w:r>
    </w:p>
    <w:p w:rsidR="00DC4217" w:rsidRDefault="00DC4217"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It could still be argued that </w:t>
      </w:r>
      <w:r w:rsidRPr="008E2B0C">
        <w:rPr>
          <w:rFonts w:ascii="Times New Roman" w:hAnsi="Times New Roman"/>
          <w:i/>
          <w:sz w:val="24"/>
          <w:szCs w:val="24"/>
          <w:lang w:val="en-US"/>
        </w:rPr>
        <w:t>additional</w:t>
      </w:r>
      <w:r>
        <w:rPr>
          <w:rFonts w:ascii="Times New Roman" w:hAnsi="Times New Roman"/>
          <w:sz w:val="24"/>
          <w:szCs w:val="24"/>
          <w:lang w:val="en-US"/>
        </w:rPr>
        <w:t xml:space="preserve"> information was provided at the time of contract renewal so that causality could work in the direction opposite to that presumed above (household heads who chose to renew their contract received more information). This scenario cannot</w:t>
      </w:r>
      <w:r w:rsidR="00E22700">
        <w:rPr>
          <w:rFonts w:ascii="Times New Roman" w:hAnsi="Times New Roman"/>
          <w:sz w:val="24"/>
          <w:szCs w:val="24"/>
          <w:lang w:val="en-US"/>
        </w:rPr>
        <w:t xml:space="preserve"> be given credibility</w:t>
      </w:r>
      <w:r>
        <w:rPr>
          <w:rFonts w:ascii="Times New Roman" w:hAnsi="Times New Roman"/>
          <w:sz w:val="24"/>
          <w:szCs w:val="24"/>
          <w:lang w:val="en-US"/>
        </w:rPr>
        <w:t>, however, because</w:t>
      </w:r>
      <w:r w:rsidR="00E22700">
        <w:rPr>
          <w:rFonts w:ascii="Times New Roman" w:hAnsi="Times New Roman"/>
          <w:sz w:val="24"/>
          <w:szCs w:val="24"/>
          <w:lang w:val="en-US"/>
        </w:rPr>
        <w:t xml:space="preserve"> the procedure of renewal consisted of simply approaching a clerk dedicated to the purpose without any further information or training meeting. As hinted at earlier, information was essentially supplied through local self-help groups whereas SSP did not manifest itself on the ground to provide systematic information and training, or to ensure a modicum of fo</w:t>
      </w:r>
      <w:r w:rsidR="00990936">
        <w:rPr>
          <w:rFonts w:ascii="Times New Roman" w:hAnsi="Times New Roman"/>
          <w:sz w:val="24"/>
          <w:szCs w:val="24"/>
          <w:lang w:val="en-US"/>
        </w:rPr>
        <w:t>llow up action</w:t>
      </w:r>
      <w:r w:rsidR="00E22700">
        <w:rPr>
          <w:rFonts w:ascii="Times New Roman" w:hAnsi="Times New Roman"/>
          <w:sz w:val="24"/>
          <w:szCs w:val="24"/>
          <w:lang w:val="en-US"/>
        </w:rPr>
        <w:t>.</w:t>
      </w:r>
      <w:r w:rsidR="00990936">
        <w:rPr>
          <w:rFonts w:ascii="Times New Roman" w:hAnsi="Times New Roman"/>
          <w:sz w:val="24"/>
          <w:szCs w:val="24"/>
          <w:lang w:val="en-US"/>
        </w:rPr>
        <w:t xml:space="preserve"> It is no exaggeration to say that SSP’s role was mainly played out when it helped form the self-help groups.</w:t>
      </w:r>
    </w:p>
    <w:p w:rsidR="00B71B3E"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Finally, we estimate a Heckman selection model and the first-stage equation is identical to the one used for explaining variations in the use of insurance. This model is therefore the same as the second model presented in Subsection 4.1, except for the fact that there are now three additional independent variables in the second-stage equation. In both the LP and the selection models, the standard errors are clustered at the village level.</w:t>
      </w:r>
    </w:p>
    <w:p w:rsidR="00B71B3E" w:rsidRDefault="00231169"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lastRenderedPageBreak/>
        <w:t>In Table 5</w:t>
      </w:r>
      <w:r w:rsidR="00B71B3E">
        <w:rPr>
          <w:rFonts w:ascii="Times New Roman" w:hAnsi="Times New Roman"/>
          <w:sz w:val="24"/>
          <w:szCs w:val="24"/>
          <w:lang w:val="en-US"/>
        </w:rPr>
        <w:t xml:space="preserve">, we show the results of the LP and the selection models when the dependent variable is </w:t>
      </w:r>
      <w:r w:rsidR="00B71B3E">
        <w:rPr>
          <w:rFonts w:ascii="Times New Roman" w:hAnsi="Times New Roman"/>
          <w:i/>
          <w:sz w:val="24"/>
          <w:szCs w:val="24"/>
          <w:lang w:val="en-US"/>
        </w:rPr>
        <w:t>renewal</w:t>
      </w:r>
      <w:r w:rsidR="00E078FB">
        <w:rPr>
          <w:rFonts w:ascii="Times New Roman" w:hAnsi="Times New Roman"/>
          <w:sz w:val="24"/>
          <w:szCs w:val="24"/>
          <w:lang w:val="en-US"/>
        </w:rPr>
        <w:t xml:space="preserve"> and, in Table 6</w:t>
      </w:r>
      <w:r w:rsidR="00B71B3E">
        <w:rPr>
          <w:rFonts w:ascii="Times New Roman" w:hAnsi="Times New Roman"/>
          <w:sz w:val="24"/>
          <w:szCs w:val="24"/>
          <w:lang w:val="en-US"/>
        </w:rPr>
        <w:t xml:space="preserve">, when the dependent variable is </w:t>
      </w:r>
      <w:r w:rsidR="00B71B3E">
        <w:rPr>
          <w:rFonts w:ascii="Times New Roman" w:hAnsi="Times New Roman"/>
          <w:i/>
          <w:sz w:val="24"/>
          <w:szCs w:val="24"/>
          <w:lang w:val="en-US"/>
        </w:rPr>
        <w:t>satisfaction</w:t>
      </w:r>
      <w:r w:rsidR="00B71B3E">
        <w:rPr>
          <w:rFonts w:ascii="Times New Roman" w:hAnsi="Times New Roman"/>
          <w:sz w:val="24"/>
          <w:szCs w:val="24"/>
          <w:lang w:val="en-US"/>
        </w:rPr>
        <w:t>. Each table contains ten columns corresponding to different specifications. In column</w:t>
      </w:r>
      <w:r w:rsidR="000E1179">
        <w:rPr>
          <w:rFonts w:ascii="Times New Roman" w:hAnsi="Times New Roman"/>
          <w:sz w:val="24"/>
          <w:szCs w:val="24"/>
          <w:lang w:val="en-US"/>
        </w:rPr>
        <w:t>s</w:t>
      </w:r>
      <w:r w:rsidR="00B71B3E">
        <w:rPr>
          <w:rFonts w:ascii="Times New Roman" w:hAnsi="Times New Roman"/>
          <w:sz w:val="24"/>
          <w:szCs w:val="24"/>
          <w:lang w:val="en-US"/>
        </w:rPr>
        <w:t xml:space="preserve"> (1) and (2), we show the results for the LP model without and with village fixed effects when the </w:t>
      </w:r>
      <w:r w:rsidR="00122BD9">
        <w:rPr>
          <w:rFonts w:ascii="Times New Roman" w:hAnsi="Times New Roman"/>
          <w:i/>
          <w:sz w:val="24"/>
          <w:szCs w:val="24"/>
          <w:lang w:val="en-US"/>
        </w:rPr>
        <w:t>p</w:t>
      </w:r>
      <w:r w:rsidR="00B71B3E">
        <w:rPr>
          <w:rFonts w:ascii="Times New Roman" w:hAnsi="Times New Roman"/>
          <w:i/>
          <w:sz w:val="24"/>
          <w:szCs w:val="24"/>
          <w:lang w:val="en-US"/>
        </w:rPr>
        <w:t xml:space="preserve">ayout </w:t>
      </w:r>
      <w:r w:rsidR="00B71B3E">
        <w:rPr>
          <w:rFonts w:ascii="Times New Roman" w:hAnsi="Times New Roman"/>
          <w:sz w:val="24"/>
          <w:szCs w:val="24"/>
          <w:lang w:val="en-US"/>
        </w:rPr>
        <w:t xml:space="preserve">variable and the corresponding interaction term are omitted. In columns (3) and (4), the same exercise is repeated but we now add these two variables. In columns (5) and (6), instead of </w:t>
      </w:r>
      <w:r w:rsidR="00122BD9">
        <w:rPr>
          <w:rFonts w:ascii="Times New Roman" w:hAnsi="Times New Roman"/>
          <w:i/>
          <w:sz w:val="24"/>
          <w:szCs w:val="24"/>
          <w:lang w:val="en-US"/>
        </w:rPr>
        <w:t>p</w:t>
      </w:r>
      <w:r w:rsidR="00B71B3E">
        <w:rPr>
          <w:rFonts w:ascii="Times New Roman" w:hAnsi="Times New Roman"/>
          <w:i/>
          <w:sz w:val="24"/>
          <w:szCs w:val="24"/>
          <w:lang w:val="en-US"/>
        </w:rPr>
        <w:t>ayout</w:t>
      </w:r>
      <w:r w:rsidR="00B71B3E">
        <w:rPr>
          <w:rFonts w:ascii="Times New Roman" w:hAnsi="Times New Roman"/>
          <w:sz w:val="24"/>
          <w:szCs w:val="24"/>
          <w:lang w:val="en-US"/>
        </w:rPr>
        <w:t xml:space="preserve">, we use the </w:t>
      </w:r>
      <w:r w:rsidR="00B71B3E">
        <w:rPr>
          <w:rFonts w:ascii="Times New Roman" w:hAnsi="Times New Roman"/>
          <w:i/>
          <w:sz w:val="24"/>
          <w:szCs w:val="24"/>
          <w:lang w:val="en-US"/>
        </w:rPr>
        <w:t xml:space="preserve">peer_effect </w:t>
      </w:r>
      <w:r w:rsidR="00B71B3E">
        <w:rPr>
          <w:rFonts w:ascii="Times New Roman" w:hAnsi="Times New Roman"/>
          <w:sz w:val="24"/>
          <w:szCs w:val="24"/>
          <w:lang w:val="en-US"/>
        </w:rPr>
        <w:t>variable and the corresponding interaction, again without and with village fixed effects. In columns (7), (8), and (9),</w:t>
      </w:r>
      <w:r w:rsidR="000E1179">
        <w:rPr>
          <w:rFonts w:ascii="Times New Roman" w:hAnsi="Times New Roman"/>
          <w:sz w:val="24"/>
          <w:szCs w:val="24"/>
          <w:lang w:val="en-US"/>
        </w:rPr>
        <w:t xml:space="preserve"> we follow the same procedure while</w:t>
      </w:r>
      <w:r w:rsidR="00B71B3E">
        <w:rPr>
          <w:rFonts w:ascii="Times New Roman" w:hAnsi="Times New Roman"/>
          <w:sz w:val="24"/>
          <w:szCs w:val="24"/>
          <w:lang w:val="en-US"/>
        </w:rPr>
        <w:t xml:space="preserve"> </w:t>
      </w:r>
      <w:r w:rsidR="00B71B3E" w:rsidRPr="00A17D96">
        <w:rPr>
          <w:rFonts w:ascii="Times New Roman" w:hAnsi="Times New Roman"/>
          <w:sz w:val="24"/>
          <w:szCs w:val="24"/>
          <w:lang w:val="en-US"/>
        </w:rPr>
        <w:t>estimating the selection model</w:t>
      </w:r>
      <w:r w:rsidR="000E1179">
        <w:rPr>
          <w:rFonts w:ascii="Times New Roman" w:hAnsi="Times New Roman"/>
          <w:sz w:val="24"/>
          <w:szCs w:val="24"/>
          <w:lang w:val="en-US"/>
        </w:rPr>
        <w:t>,</w:t>
      </w:r>
      <w:r w:rsidR="00B71B3E">
        <w:rPr>
          <w:rFonts w:ascii="Times New Roman" w:hAnsi="Times New Roman"/>
          <w:sz w:val="24"/>
          <w:szCs w:val="24"/>
          <w:lang w:val="en-US"/>
        </w:rPr>
        <w:t xml:space="preserve"> but</w:t>
      </w:r>
      <w:r w:rsidR="000E1179">
        <w:rPr>
          <w:rFonts w:ascii="Times New Roman" w:hAnsi="Times New Roman"/>
          <w:sz w:val="24"/>
          <w:szCs w:val="24"/>
          <w:lang w:val="en-US"/>
        </w:rPr>
        <w:t xml:space="preserve"> we</w:t>
      </w:r>
      <w:r w:rsidR="00B71B3E">
        <w:rPr>
          <w:rFonts w:ascii="Times New Roman" w:hAnsi="Times New Roman"/>
          <w:sz w:val="24"/>
          <w:szCs w:val="24"/>
          <w:lang w:val="en-US"/>
        </w:rPr>
        <w:t xml:space="preserve"> give the results only when village fixed effects are omitted. Note, finally, that all the results are based on the following definitions for the information and understanding variables: </w:t>
      </w:r>
      <w:r w:rsidR="00B71B3E">
        <w:rPr>
          <w:rFonts w:ascii="Times New Roman" w:hAnsi="Times New Roman"/>
          <w:i/>
          <w:sz w:val="24"/>
          <w:szCs w:val="24"/>
          <w:lang w:val="en-US"/>
        </w:rPr>
        <w:t xml:space="preserve">Info=INFO_2, </w:t>
      </w:r>
      <w:r w:rsidR="00B71B3E">
        <w:rPr>
          <w:rFonts w:ascii="Times New Roman" w:hAnsi="Times New Roman"/>
          <w:sz w:val="24"/>
          <w:szCs w:val="24"/>
          <w:lang w:val="en-US"/>
        </w:rPr>
        <w:t xml:space="preserve">and </w:t>
      </w:r>
      <w:r w:rsidR="00B71B3E">
        <w:rPr>
          <w:rFonts w:ascii="Times New Roman" w:hAnsi="Times New Roman"/>
          <w:i/>
          <w:sz w:val="24"/>
          <w:szCs w:val="24"/>
          <w:lang w:val="en-US"/>
        </w:rPr>
        <w:t xml:space="preserve">Und=UND_2, </w:t>
      </w:r>
      <w:r w:rsidR="00B71B3E">
        <w:rPr>
          <w:rFonts w:ascii="Times New Roman" w:hAnsi="Times New Roman"/>
          <w:sz w:val="24"/>
          <w:szCs w:val="24"/>
          <w:lang w:val="en-US"/>
        </w:rPr>
        <w:t>implying that the reference category consists</w:t>
      </w:r>
      <w:r w:rsidR="000E1179">
        <w:rPr>
          <w:rFonts w:ascii="Times New Roman" w:hAnsi="Times New Roman"/>
          <w:sz w:val="24"/>
          <w:szCs w:val="24"/>
          <w:lang w:val="en-US"/>
        </w:rPr>
        <w:t xml:space="preserve"> of households which answered </w:t>
      </w:r>
      <w:r w:rsidR="005434AB">
        <w:rPr>
          <w:rFonts w:ascii="Times New Roman" w:hAnsi="Times New Roman"/>
          <w:sz w:val="24"/>
          <w:szCs w:val="24"/>
          <w:lang w:val="en-US"/>
        </w:rPr>
        <w:t>in</w:t>
      </w:r>
      <w:r w:rsidR="00B71B3E">
        <w:rPr>
          <w:rFonts w:ascii="Times New Roman" w:hAnsi="Times New Roman"/>
          <w:sz w:val="24"/>
          <w:szCs w:val="24"/>
          <w:lang w:val="en-US"/>
        </w:rPr>
        <w:t xml:space="preserve">correctly to two or three questions raised to them. (Using the highest, rather than the intermediate, levels of understanding and information is not a good option because the corresponding subscribers are quite few and the interaction term would therefore concern an even smaller group). Estimates based on alternative definitions of these variables have been run but are not shown. </w:t>
      </w:r>
    </w:p>
    <w:p w:rsidR="00B71B3E" w:rsidRPr="003F31C0" w:rsidRDefault="00B71B3E" w:rsidP="00B71B3E">
      <w:pPr>
        <w:spacing w:after="240" w:line="360" w:lineRule="auto"/>
        <w:ind w:firstLine="426"/>
        <w:jc w:val="both"/>
        <w:rPr>
          <w:rFonts w:ascii="Times New Roman" w:hAnsi="Times New Roman"/>
          <w:sz w:val="24"/>
          <w:szCs w:val="24"/>
          <w:u w:val="single"/>
          <w:lang w:val="en-US"/>
        </w:rPr>
      </w:pPr>
      <w:r>
        <w:rPr>
          <w:rFonts w:ascii="Times New Roman" w:hAnsi="Times New Roman"/>
          <w:sz w:val="24"/>
          <w:szCs w:val="24"/>
          <w:lang w:val="en-US"/>
        </w:rPr>
        <w:t xml:space="preserve">The rationale behind the choice of </w:t>
      </w:r>
      <w:r>
        <w:rPr>
          <w:rFonts w:ascii="Times New Roman" w:hAnsi="Times New Roman"/>
          <w:i/>
          <w:sz w:val="24"/>
          <w:szCs w:val="24"/>
          <w:lang w:val="en-US"/>
        </w:rPr>
        <w:t xml:space="preserve">UND_2 </w:t>
      </w:r>
      <w:r>
        <w:rPr>
          <w:rFonts w:ascii="Times New Roman" w:hAnsi="Times New Roman"/>
          <w:sz w:val="24"/>
          <w:szCs w:val="24"/>
          <w:lang w:val="en-US"/>
        </w:rPr>
        <w:t xml:space="preserve">in the </w:t>
      </w:r>
      <w:r w:rsidR="00231169">
        <w:rPr>
          <w:rFonts w:ascii="Times New Roman" w:hAnsi="Times New Roman"/>
          <w:sz w:val="24"/>
          <w:szCs w:val="24"/>
          <w:lang w:val="en-US"/>
        </w:rPr>
        <w:t>regressions displayed in Table 5</w:t>
      </w:r>
      <w:r>
        <w:rPr>
          <w:rFonts w:ascii="Times New Roman" w:hAnsi="Times New Roman"/>
          <w:sz w:val="24"/>
          <w:szCs w:val="24"/>
          <w:lang w:val="en-US"/>
        </w:rPr>
        <w:t xml:space="preserve"> (and Tabl</w:t>
      </w:r>
      <w:r w:rsidR="00231169">
        <w:rPr>
          <w:rFonts w:ascii="Times New Roman" w:hAnsi="Times New Roman"/>
          <w:sz w:val="24"/>
          <w:szCs w:val="24"/>
          <w:lang w:val="en-US"/>
        </w:rPr>
        <w:t>e 6</w:t>
      </w:r>
      <w:r>
        <w:rPr>
          <w:rFonts w:ascii="Times New Roman" w:hAnsi="Times New Roman"/>
          <w:sz w:val="24"/>
          <w:szCs w:val="24"/>
          <w:lang w:val="en-US"/>
        </w:rPr>
        <w:t xml:space="preserve">) is as follows. Let us re-define our measure of understanding by using three dummy variables that must be used simultaneously: </w:t>
      </w:r>
      <w:r w:rsidRPr="005D4D64">
        <w:rPr>
          <w:rFonts w:ascii="Times New Roman" w:hAnsi="Times New Roman"/>
          <w:i/>
          <w:sz w:val="24"/>
          <w:szCs w:val="24"/>
          <w:lang w:val="en-US"/>
        </w:rPr>
        <w:t>UND_A=1</w:t>
      </w:r>
      <w:r>
        <w:rPr>
          <w:rFonts w:ascii="Times New Roman" w:hAnsi="Times New Roman"/>
          <w:sz w:val="24"/>
          <w:szCs w:val="24"/>
          <w:lang w:val="en-US"/>
        </w:rPr>
        <w:t xml:space="preserve"> if the household has answered correctly to one question, </w:t>
      </w:r>
      <w:r w:rsidRPr="005D4D64">
        <w:rPr>
          <w:rFonts w:ascii="Times New Roman" w:hAnsi="Times New Roman"/>
          <w:i/>
          <w:sz w:val="24"/>
          <w:szCs w:val="24"/>
          <w:lang w:val="en-US"/>
        </w:rPr>
        <w:t>UND_B=1</w:t>
      </w:r>
      <w:r>
        <w:rPr>
          <w:rFonts w:ascii="Times New Roman" w:hAnsi="Times New Roman"/>
          <w:sz w:val="24"/>
          <w:szCs w:val="24"/>
          <w:lang w:val="en-US"/>
        </w:rPr>
        <w:t xml:space="preserve"> if it has answered correctly to two questions, and </w:t>
      </w:r>
      <w:r w:rsidRPr="005D4D64">
        <w:rPr>
          <w:rFonts w:ascii="Times New Roman" w:hAnsi="Times New Roman"/>
          <w:i/>
          <w:sz w:val="24"/>
          <w:szCs w:val="24"/>
          <w:lang w:val="en-US"/>
        </w:rPr>
        <w:t>UND_C=1</w:t>
      </w:r>
      <w:r>
        <w:rPr>
          <w:rFonts w:ascii="Times New Roman" w:hAnsi="Times New Roman"/>
          <w:sz w:val="24"/>
          <w:szCs w:val="24"/>
          <w:lang w:val="en-US"/>
        </w:rPr>
        <w:t xml:space="preserve"> if it has answered correctly to the three questions (so that </w:t>
      </w:r>
      <w:r w:rsidRPr="005D4D64">
        <w:rPr>
          <w:rFonts w:ascii="Times New Roman" w:hAnsi="Times New Roman"/>
          <w:i/>
          <w:sz w:val="24"/>
          <w:szCs w:val="24"/>
          <w:lang w:val="en-US"/>
        </w:rPr>
        <w:t>UND_C</w:t>
      </w:r>
      <w:r>
        <w:rPr>
          <w:rFonts w:ascii="Times New Roman" w:hAnsi="Times New Roman"/>
          <w:sz w:val="24"/>
          <w:szCs w:val="24"/>
          <w:lang w:val="en-US"/>
        </w:rPr>
        <w:t xml:space="preserve"> is identical to </w:t>
      </w:r>
      <w:r w:rsidRPr="005D4D64">
        <w:rPr>
          <w:rFonts w:ascii="Times New Roman" w:hAnsi="Times New Roman"/>
          <w:i/>
          <w:sz w:val="24"/>
          <w:szCs w:val="24"/>
          <w:lang w:val="en-US"/>
        </w:rPr>
        <w:t>UND_1</w:t>
      </w:r>
      <w:r>
        <w:rPr>
          <w:rFonts w:ascii="Times New Roman" w:hAnsi="Times New Roman"/>
          <w:sz w:val="24"/>
          <w:szCs w:val="24"/>
          <w:lang w:val="en-US"/>
        </w:rPr>
        <w:t>), so that the reference category co</w:t>
      </w:r>
      <w:r w:rsidR="000E1179">
        <w:rPr>
          <w:rFonts w:ascii="Times New Roman" w:hAnsi="Times New Roman"/>
          <w:sz w:val="24"/>
          <w:szCs w:val="24"/>
          <w:lang w:val="en-US"/>
        </w:rPr>
        <w:t>nsists of households which</w:t>
      </w:r>
      <w:r>
        <w:rPr>
          <w:rFonts w:ascii="Times New Roman" w:hAnsi="Times New Roman"/>
          <w:sz w:val="24"/>
          <w:szCs w:val="24"/>
          <w:lang w:val="en-US"/>
        </w:rPr>
        <w:t xml:space="preserve"> answered</w:t>
      </w:r>
      <w:r w:rsidR="000E1179">
        <w:rPr>
          <w:rFonts w:ascii="Times New Roman" w:hAnsi="Times New Roman"/>
          <w:sz w:val="24"/>
          <w:szCs w:val="24"/>
          <w:lang w:val="en-US"/>
        </w:rPr>
        <w:t xml:space="preserve"> incorrectly to</w:t>
      </w:r>
      <w:r>
        <w:rPr>
          <w:rFonts w:ascii="Times New Roman" w:hAnsi="Times New Roman"/>
          <w:sz w:val="24"/>
          <w:szCs w:val="24"/>
          <w:lang w:val="en-US"/>
        </w:rPr>
        <w:t xml:space="preserve"> the three questions. When we analyze the effects of these variables on contract renewal (without </w:t>
      </w:r>
      <w:r w:rsidR="00122BD9">
        <w:rPr>
          <w:rFonts w:ascii="Times New Roman" w:hAnsi="Times New Roman"/>
          <w:i/>
          <w:sz w:val="24"/>
          <w:szCs w:val="24"/>
          <w:lang w:val="en-US"/>
        </w:rPr>
        <w:t>p</w:t>
      </w:r>
      <w:r>
        <w:rPr>
          <w:rFonts w:ascii="Times New Roman" w:hAnsi="Times New Roman"/>
          <w:i/>
          <w:sz w:val="24"/>
          <w:szCs w:val="24"/>
          <w:lang w:val="en-US"/>
        </w:rPr>
        <w:t xml:space="preserve">ayout </w:t>
      </w:r>
      <w:r>
        <w:rPr>
          <w:rFonts w:ascii="Times New Roman" w:hAnsi="Times New Roman"/>
          <w:sz w:val="24"/>
          <w:szCs w:val="24"/>
          <w:lang w:val="en-US"/>
        </w:rPr>
        <w:t xml:space="preserve">and the interaction term), we find that the coefficient of </w:t>
      </w:r>
      <w:r>
        <w:rPr>
          <w:rFonts w:ascii="Times New Roman" w:hAnsi="Times New Roman"/>
          <w:i/>
          <w:sz w:val="24"/>
          <w:szCs w:val="24"/>
          <w:lang w:val="en-US"/>
        </w:rPr>
        <w:t xml:space="preserve">UND_A </w:t>
      </w:r>
      <w:r>
        <w:rPr>
          <w:rFonts w:ascii="Times New Roman" w:hAnsi="Times New Roman"/>
          <w:sz w:val="24"/>
          <w:szCs w:val="24"/>
          <w:lang w:val="en-US"/>
        </w:rPr>
        <w:t xml:space="preserve">is not statistically different from zero while the coefficients of both </w:t>
      </w:r>
      <w:r>
        <w:rPr>
          <w:rFonts w:ascii="Times New Roman" w:hAnsi="Times New Roman"/>
          <w:i/>
          <w:sz w:val="24"/>
          <w:szCs w:val="24"/>
          <w:lang w:val="en-US"/>
        </w:rPr>
        <w:t xml:space="preserve">UND_B </w:t>
      </w:r>
      <w:r>
        <w:rPr>
          <w:rFonts w:ascii="Times New Roman" w:hAnsi="Times New Roman"/>
          <w:sz w:val="24"/>
          <w:szCs w:val="24"/>
          <w:lang w:val="en-US"/>
        </w:rPr>
        <w:t xml:space="preserve">and </w:t>
      </w:r>
      <w:r>
        <w:rPr>
          <w:rFonts w:ascii="Times New Roman" w:hAnsi="Times New Roman"/>
          <w:i/>
          <w:sz w:val="24"/>
          <w:szCs w:val="24"/>
          <w:lang w:val="en-US"/>
        </w:rPr>
        <w:t>UND_C</w:t>
      </w:r>
      <w:r>
        <w:rPr>
          <w:rFonts w:ascii="Times New Roman" w:hAnsi="Times New Roman"/>
          <w:sz w:val="24"/>
          <w:szCs w:val="24"/>
          <w:lang w:val="en-US"/>
        </w:rPr>
        <w:t xml:space="preserve"> are strongly significant. Moreover, and as expected, the coefficient of </w:t>
      </w:r>
      <w:r>
        <w:rPr>
          <w:rFonts w:ascii="Times New Roman" w:hAnsi="Times New Roman"/>
          <w:i/>
          <w:sz w:val="24"/>
          <w:szCs w:val="24"/>
          <w:lang w:val="en-US"/>
        </w:rPr>
        <w:t xml:space="preserve">UND_C </w:t>
      </w:r>
      <w:r>
        <w:rPr>
          <w:rFonts w:ascii="Times New Roman" w:hAnsi="Times New Roman"/>
          <w:sz w:val="24"/>
          <w:szCs w:val="24"/>
          <w:lang w:val="en-US"/>
        </w:rPr>
        <w:t xml:space="preserve">is much higher than the coefficient of </w:t>
      </w:r>
      <w:r>
        <w:rPr>
          <w:rFonts w:ascii="Times New Roman" w:hAnsi="Times New Roman"/>
          <w:i/>
          <w:sz w:val="24"/>
          <w:szCs w:val="24"/>
          <w:lang w:val="en-US"/>
        </w:rPr>
        <w:t>UND_B</w:t>
      </w:r>
      <w:r>
        <w:rPr>
          <w:rFonts w:ascii="Times New Roman" w:hAnsi="Times New Roman"/>
          <w:sz w:val="24"/>
          <w:szCs w:val="24"/>
          <w:lang w:val="en-US"/>
        </w:rPr>
        <w:t xml:space="preserve"> (see Appendix B, columns (3), (4), and (6), depending on which estimating model is used and whether village fixed effects are added or not).</w:t>
      </w:r>
      <w:r>
        <w:rPr>
          <w:rStyle w:val="Appelnotedebasdep"/>
          <w:rFonts w:ascii="Times New Roman" w:hAnsi="Times New Roman"/>
          <w:sz w:val="24"/>
          <w:szCs w:val="24"/>
          <w:lang w:val="en-US"/>
        </w:rPr>
        <w:footnoteReference w:id="26"/>
      </w:r>
      <w:r>
        <w:rPr>
          <w:rFonts w:ascii="Times New Roman" w:hAnsi="Times New Roman"/>
          <w:sz w:val="24"/>
          <w:szCs w:val="24"/>
          <w:lang w:val="en-US"/>
        </w:rPr>
        <w:t xml:space="preserve"> In words, the households which answered correctly to only one of the three questions do not behave differently from those which incorrectly answered to all three questions. We are </w:t>
      </w:r>
      <w:r>
        <w:rPr>
          <w:rFonts w:ascii="Times New Roman" w:hAnsi="Times New Roman"/>
          <w:sz w:val="24"/>
          <w:szCs w:val="24"/>
          <w:lang w:val="en-US"/>
        </w:rPr>
        <w:lastRenderedPageBreak/>
        <w:t xml:space="preserve">therefore justified in clubbing together the households for which </w:t>
      </w:r>
      <w:r w:rsidRPr="005D4D64">
        <w:rPr>
          <w:rFonts w:ascii="Times New Roman" w:hAnsi="Times New Roman"/>
          <w:i/>
          <w:sz w:val="24"/>
          <w:szCs w:val="24"/>
          <w:lang w:val="en-US"/>
        </w:rPr>
        <w:t>UND_B=1</w:t>
      </w:r>
      <w:r>
        <w:rPr>
          <w:rFonts w:ascii="Times New Roman" w:hAnsi="Times New Roman"/>
          <w:i/>
          <w:sz w:val="24"/>
          <w:szCs w:val="24"/>
          <w:lang w:val="en-US"/>
        </w:rPr>
        <w:t xml:space="preserve"> </w:t>
      </w:r>
      <w:r>
        <w:rPr>
          <w:rFonts w:ascii="Times New Roman" w:hAnsi="Times New Roman"/>
          <w:sz w:val="24"/>
          <w:szCs w:val="24"/>
          <w:lang w:val="en-US"/>
        </w:rPr>
        <w:t xml:space="preserve">and </w:t>
      </w:r>
      <w:r w:rsidRPr="005D4D64">
        <w:rPr>
          <w:rFonts w:ascii="Times New Roman" w:hAnsi="Times New Roman"/>
          <w:i/>
          <w:sz w:val="24"/>
          <w:szCs w:val="24"/>
          <w:lang w:val="en-US"/>
        </w:rPr>
        <w:t>UND_</w:t>
      </w:r>
      <w:r>
        <w:rPr>
          <w:rFonts w:ascii="Times New Roman" w:hAnsi="Times New Roman"/>
          <w:i/>
          <w:sz w:val="24"/>
          <w:szCs w:val="24"/>
          <w:lang w:val="en-US"/>
        </w:rPr>
        <w:t>C</w:t>
      </w:r>
      <w:r w:rsidRPr="005D4D64">
        <w:rPr>
          <w:rFonts w:ascii="Times New Roman" w:hAnsi="Times New Roman"/>
          <w:i/>
          <w:sz w:val="24"/>
          <w:szCs w:val="24"/>
          <w:lang w:val="en-US"/>
        </w:rPr>
        <w:t>=1</w:t>
      </w:r>
      <w:r>
        <w:rPr>
          <w:rFonts w:ascii="Times New Roman" w:hAnsi="Times New Roman"/>
          <w:sz w:val="24"/>
          <w:szCs w:val="24"/>
          <w:lang w:val="en-US"/>
        </w:rPr>
        <w:t xml:space="preserve">, which is done when using </w:t>
      </w:r>
      <w:r>
        <w:rPr>
          <w:rFonts w:ascii="Times New Roman" w:hAnsi="Times New Roman"/>
          <w:i/>
          <w:sz w:val="24"/>
          <w:szCs w:val="24"/>
          <w:lang w:val="en-US"/>
        </w:rPr>
        <w:t>UND_2</w:t>
      </w:r>
      <w:r>
        <w:rPr>
          <w:rFonts w:ascii="Times New Roman" w:hAnsi="Times New Roman"/>
          <w:sz w:val="24"/>
          <w:szCs w:val="24"/>
          <w:lang w:val="en-US"/>
        </w:rPr>
        <w:t xml:space="preserve">. Note that we find exactly the same results for the information variable, thus justifying our use of </w:t>
      </w:r>
      <w:r>
        <w:rPr>
          <w:rFonts w:ascii="Times New Roman" w:hAnsi="Times New Roman"/>
          <w:i/>
          <w:sz w:val="24"/>
          <w:szCs w:val="24"/>
          <w:lang w:val="en-US"/>
        </w:rPr>
        <w:t>INFO_2</w:t>
      </w:r>
      <w:r>
        <w:rPr>
          <w:rFonts w:ascii="Times New Roman" w:hAnsi="Times New Roman"/>
          <w:sz w:val="24"/>
          <w:szCs w:val="24"/>
          <w:lang w:val="en-US"/>
        </w:rPr>
        <w:t xml:space="preserve"> (see Appendix B, columns (1), (2), and (5)).</w:t>
      </w:r>
    </w:p>
    <w:p w:rsidR="00B71B3E" w:rsidRPr="0059446B"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We first</w:t>
      </w:r>
      <w:r w:rsidR="00231169">
        <w:rPr>
          <w:rFonts w:ascii="Times New Roman" w:hAnsi="Times New Roman"/>
          <w:sz w:val="24"/>
          <w:szCs w:val="24"/>
          <w:lang w:val="en-US"/>
        </w:rPr>
        <w:t xml:space="preserve"> consider the results in Table 5</w:t>
      </w:r>
      <w:r>
        <w:rPr>
          <w:rFonts w:ascii="Times New Roman" w:hAnsi="Times New Roman"/>
          <w:sz w:val="24"/>
          <w:szCs w:val="24"/>
          <w:lang w:val="en-US"/>
        </w:rPr>
        <w:t xml:space="preserve">. The central assumptions behind this paper stand confirmed. Better information about the insurance product and the scheme, as well as better understanding of the insurance concept, have a positive impact on the probability of renewing the contract. The effects are strongly significant regardless of the specification used. When </w:t>
      </w:r>
      <w:r w:rsidR="00EA1065">
        <w:rPr>
          <w:rFonts w:ascii="Times New Roman" w:hAnsi="Times New Roman"/>
          <w:sz w:val="24"/>
          <w:szCs w:val="24"/>
          <w:lang w:val="en-US"/>
        </w:rPr>
        <w:t xml:space="preserve">we use the LP model while omitting </w:t>
      </w:r>
      <w:r>
        <w:rPr>
          <w:rFonts w:ascii="Times New Roman" w:hAnsi="Times New Roman"/>
          <w:sz w:val="24"/>
          <w:szCs w:val="24"/>
          <w:lang w:val="en-US"/>
        </w:rPr>
        <w:t xml:space="preserve">the </w:t>
      </w:r>
      <w:r w:rsidR="000E1179">
        <w:rPr>
          <w:rFonts w:ascii="Times New Roman" w:hAnsi="Times New Roman"/>
          <w:i/>
          <w:sz w:val="24"/>
          <w:szCs w:val="24"/>
          <w:lang w:val="en-US"/>
        </w:rPr>
        <w:t>p</w:t>
      </w:r>
      <w:r>
        <w:rPr>
          <w:rFonts w:ascii="Times New Roman" w:hAnsi="Times New Roman"/>
          <w:i/>
          <w:sz w:val="24"/>
          <w:szCs w:val="24"/>
          <w:lang w:val="en-US"/>
        </w:rPr>
        <w:t xml:space="preserve">ayout </w:t>
      </w:r>
      <w:r>
        <w:rPr>
          <w:rFonts w:ascii="Times New Roman" w:hAnsi="Times New Roman"/>
          <w:sz w:val="24"/>
          <w:szCs w:val="24"/>
          <w:lang w:val="en-US"/>
        </w:rPr>
        <w:t xml:space="preserve">or the </w:t>
      </w:r>
      <w:r>
        <w:rPr>
          <w:rFonts w:ascii="Times New Roman" w:hAnsi="Times New Roman"/>
          <w:i/>
          <w:sz w:val="24"/>
          <w:szCs w:val="24"/>
          <w:lang w:val="en-US"/>
        </w:rPr>
        <w:t xml:space="preserve">peer_effect </w:t>
      </w:r>
      <w:r w:rsidR="00EA1065">
        <w:rPr>
          <w:rFonts w:ascii="Times New Roman" w:hAnsi="Times New Roman"/>
          <w:sz w:val="24"/>
          <w:szCs w:val="24"/>
          <w:lang w:val="en-US"/>
        </w:rPr>
        <w:t>variables (and ignoring village fixed effects)</w:t>
      </w:r>
      <w:r>
        <w:rPr>
          <w:rFonts w:ascii="Times New Roman" w:hAnsi="Times New Roman"/>
          <w:sz w:val="24"/>
          <w:szCs w:val="24"/>
          <w:lang w:val="en-US"/>
        </w:rPr>
        <w:t>, we find that the probability of renewal is increased by 38% if the household improves its level of information (from ignoring the correct answers to all three key questions or knowing the correct answer to only one question to knowing the correct answers to at least two questions), and by 20% if it improves its level of understanding (with improvement defined in the same manner as for the information variable). It is important to stress that the effect of a reasonably good understanding of the insurance notion remains even after controlling for the measure of information</w:t>
      </w:r>
      <w:r w:rsidR="000E1179">
        <w:rPr>
          <w:rFonts w:ascii="Times New Roman" w:hAnsi="Times New Roman"/>
          <w:sz w:val="24"/>
          <w:szCs w:val="24"/>
          <w:lang w:val="en-US"/>
        </w:rPr>
        <w:t xml:space="preserve"> and for education</w:t>
      </w:r>
      <w:r>
        <w:rPr>
          <w:rFonts w:ascii="Times New Roman" w:hAnsi="Times New Roman"/>
          <w:sz w:val="24"/>
          <w:szCs w:val="24"/>
          <w:lang w:val="en-US"/>
        </w:rPr>
        <w:t>. It is</w:t>
      </w:r>
      <w:r w:rsidR="000E1179">
        <w:rPr>
          <w:rFonts w:ascii="Times New Roman" w:hAnsi="Times New Roman"/>
          <w:sz w:val="24"/>
          <w:szCs w:val="24"/>
          <w:lang w:val="en-US"/>
        </w:rPr>
        <w:t xml:space="preserve"> also</w:t>
      </w:r>
      <w:r>
        <w:rPr>
          <w:rFonts w:ascii="Times New Roman" w:hAnsi="Times New Roman"/>
          <w:sz w:val="24"/>
          <w:szCs w:val="24"/>
          <w:lang w:val="en-US"/>
        </w:rPr>
        <w:t xml:space="preserve"> noteworthy that the significance of the effects of </w:t>
      </w:r>
      <w:r>
        <w:rPr>
          <w:rFonts w:ascii="Times New Roman" w:hAnsi="Times New Roman"/>
          <w:i/>
          <w:sz w:val="24"/>
          <w:szCs w:val="24"/>
          <w:lang w:val="en-US"/>
        </w:rPr>
        <w:t xml:space="preserve">Info </w:t>
      </w:r>
      <w:r>
        <w:rPr>
          <w:rFonts w:ascii="Times New Roman" w:hAnsi="Times New Roman"/>
          <w:sz w:val="24"/>
          <w:szCs w:val="24"/>
          <w:lang w:val="en-US"/>
        </w:rPr>
        <w:t xml:space="preserve">and </w:t>
      </w:r>
      <w:r>
        <w:rPr>
          <w:rFonts w:ascii="Times New Roman" w:hAnsi="Times New Roman"/>
          <w:i/>
          <w:sz w:val="24"/>
          <w:szCs w:val="24"/>
          <w:lang w:val="en-US"/>
        </w:rPr>
        <w:t xml:space="preserve">Und </w:t>
      </w:r>
      <w:r>
        <w:rPr>
          <w:rFonts w:ascii="Times New Roman" w:hAnsi="Times New Roman"/>
          <w:sz w:val="24"/>
          <w:szCs w:val="24"/>
          <w:lang w:val="en-US"/>
        </w:rPr>
        <w:t xml:space="preserve">persists when we change the definitions of these two variables using almost all conceivable combinations. Moreover, when we use </w:t>
      </w:r>
      <w:r>
        <w:rPr>
          <w:rFonts w:ascii="Times New Roman" w:hAnsi="Times New Roman"/>
          <w:i/>
          <w:sz w:val="24"/>
          <w:szCs w:val="24"/>
          <w:lang w:val="en-US"/>
        </w:rPr>
        <w:t>INFO_3</w:t>
      </w:r>
      <w:r>
        <w:rPr>
          <w:rFonts w:ascii="Times New Roman" w:hAnsi="Times New Roman"/>
          <w:sz w:val="24"/>
          <w:szCs w:val="24"/>
          <w:lang w:val="en-US"/>
        </w:rPr>
        <w:t xml:space="preserve">, which corresponds to the lowest level of information (except for complete ignorance), the size of the coefficient β decreases </w:t>
      </w:r>
      <w:r w:rsidRPr="009A0642">
        <w:rPr>
          <w:rFonts w:ascii="Times New Roman" w:hAnsi="Times New Roman"/>
          <w:sz w:val="24"/>
          <w:szCs w:val="24"/>
          <w:lang w:val="en-US"/>
        </w:rPr>
        <w:t>(0.14)</w:t>
      </w:r>
      <w:r>
        <w:rPr>
          <w:rFonts w:ascii="Times New Roman" w:hAnsi="Times New Roman"/>
          <w:sz w:val="24"/>
          <w:szCs w:val="24"/>
          <w:lang w:val="en-US"/>
        </w:rPr>
        <w:t xml:space="preserve"> whereas if we use </w:t>
      </w:r>
      <w:r>
        <w:rPr>
          <w:rFonts w:ascii="Times New Roman" w:hAnsi="Times New Roman"/>
          <w:i/>
          <w:sz w:val="24"/>
          <w:szCs w:val="24"/>
          <w:lang w:val="en-US"/>
        </w:rPr>
        <w:t xml:space="preserve">INFO_1, </w:t>
      </w:r>
      <w:r>
        <w:rPr>
          <w:rFonts w:ascii="Times New Roman" w:hAnsi="Times New Roman"/>
          <w:sz w:val="24"/>
          <w:szCs w:val="24"/>
          <w:lang w:val="en-US"/>
        </w:rPr>
        <w:t xml:space="preserve">corresponding to the highest level of information, the effect is larger </w:t>
      </w:r>
      <w:r w:rsidRPr="009A0642">
        <w:rPr>
          <w:rFonts w:ascii="Times New Roman" w:hAnsi="Times New Roman"/>
          <w:sz w:val="24"/>
          <w:szCs w:val="24"/>
          <w:lang w:val="en-US"/>
        </w:rPr>
        <w:t>(0.60).</w:t>
      </w:r>
      <w:r>
        <w:rPr>
          <w:rFonts w:ascii="Times New Roman" w:hAnsi="Times New Roman"/>
          <w:sz w:val="24"/>
          <w:szCs w:val="24"/>
          <w:lang w:val="en-US"/>
        </w:rPr>
        <w:t xml:space="preserve"> Similar results are obtained when we change the definition of the understanding variable.</w:t>
      </w:r>
      <w:r w:rsidR="0059446B">
        <w:rPr>
          <w:rFonts w:ascii="Times New Roman" w:hAnsi="Times New Roman"/>
          <w:sz w:val="24"/>
          <w:szCs w:val="24"/>
          <w:lang w:val="en-US"/>
        </w:rPr>
        <w:t xml:space="preserve"> Moreover, when we start estimating the models with </w:t>
      </w:r>
      <w:r w:rsidR="0059446B">
        <w:rPr>
          <w:rFonts w:ascii="Times New Roman" w:hAnsi="Times New Roman"/>
          <w:i/>
          <w:sz w:val="24"/>
          <w:szCs w:val="24"/>
          <w:lang w:val="en-US"/>
        </w:rPr>
        <w:t xml:space="preserve">UND_2 </w:t>
      </w:r>
      <w:r w:rsidR="0059446B">
        <w:rPr>
          <w:rFonts w:ascii="Times New Roman" w:hAnsi="Times New Roman"/>
          <w:sz w:val="24"/>
          <w:szCs w:val="24"/>
          <w:lang w:val="en-US"/>
        </w:rPr>
        <w:t xml:space="preserve">as the only explanatory variable and then add other independent variables in a stepwise manner, we find that the coefficient of </w:t>
      </w:r>
      <w:r w:rsidR="0059446B">
        <w:rPr>
          <w:rFonts w:ascii="Times New Roman" w:hAnsi="Times New Roman"/>
          <w:i/>
          <w:sz w:val="24"/>
          <w:szCs w:val="24"/>
          <w:lang w:val="en-US"/>
        </w:rPr>
        <w:t xml:space="preserve">UND_2 </w:t>
      </w:r>
      <w:r w:rsidR="0059446B">
        <w:rPr>
          <w:rFonts w:ascii="Times New Roman" w:hAnsi="Times New Roman"/>
          <w:sz w:val="24"/>
          <w:szCs w:val="24"/>
          <w:lang w:val="en-US"/>
        </w:rPr>
        <w:t>is always strongly significant (but its size may be reduced).</w:t>
      </w:r>
    </w:p>
    <w:p w:rsidR="00B71B3E"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The next results appear in columns (3) to (6) and concern the effect</w:t>
      </w:r>
      <w:r w:rsidR="000E1179">
        <w:rPr>
          <w:rFonts w:ascii="Times New Roman" w:hAnsi="Times New Roman"/>
          <w:sz w:val="24"/>
          <w:szCs w:val="24"/>
          <w:lang w:val="en-US"/>
        </w:rPr>
        <w:t>s</w:t>
      </w:r>
      <w:r>
        <w:rPr>
          <w:rFonts w:ascii="Times New Roman" w:hAnsi="Times New Roman"/>
          <w:sz w:val="24"/>
          <w:szCs w:val="24"/>
          <w:lang w:val="en-US"/>
        </w:rPr>
        <w:t xml:space="preserve"> of </w:t>
      </w:r>
      <w:r w:rsidR="000E1179">
        <w:rPr>
          <w:rFonts w:ascii="Times New Roman" w:hAnsi="Times New Roman"/>
          <w:i/>
          <w:sz w:val="24"/>
          <w:szCs w:val="24"/>
          <w:lang w:val="en-US"/>
        </w:rPr>
        <w:t>p</w:t>
      </w:r>
      <w:r>
        <w:rPr>
          <w:rFonts w:ascii="Times New Roman" w:hAnsi="Times New Roman"/>
          <w:i/>
          <w:sz w:val="24"/>
          <w:szCs w:val="24"/>
          <w:lang w:val="en-US"/>
        </w:rPr>
        <w:t>ayout</w:t>
      </w:r>
      <w:r w:rsidR="000E1179">
        <w:rPr>
          <w:rFonts w:ascii="Times New Roman" w:hAnsi="Times New Roman"/>
          <w:i/>
          <w:sz w:val="24"/>
          <w:szCs w:val="24"/>
          <w:lang w:val="en-US"/>
        </w:rPr>
        <w:t>, peer_effect</w:t>
      </w:r>
      <w:r w:rsidR="000E1179">
        <w:rPr>
          <w:rFonts w:ascii="Times New Roman" w:hAnsi="Times New Roman"/>
          <w:sz w:val="24"/>
          <w:szCs w:val="24"/>
          <w:lang w:val="en-US"/>
        </w:rPr>
        <w:t>,</w:t>
      </w:r>
      <w:r>
        <w:rPr>
          <w:rFonts w:ascii="Times New Roman" w:hAnsi="Times New Roman"/>
          <w:i/>
          <w:sz w:val="24"/>
          <w:szCs w:val="24"/>
          <w:lang w:val="en-US"/>
        </w:rPr>
        <w:t xml:space="preserve"> </w:t>
      </w:r>
      <w:r>
        <w:rPr>
          <w:rFonts w:ascii="Times New Roman" w:hAnsi="Times New Roman"/>
          <w:sz w:val="24"/>
          <w:szCs w:val="24"/>
          <w:lang w:val="en-US"/>
        </w:rPr>
        <w:t xml:space="preserve">and the interaction terms. The variable </w:t>
      </w:r>
      <w:r w:rsidR="000E1179">
        <w:rPr>
          <w:rFonts w:ascii="Times New Roman" w:hAnsi="Times New Roman"/>
          <w:i/>
          <w:sz w:val="24"/>
          <w:szCs w:val="24"/>
          <w:lang w:val="en-US"/>
        </w:rPr>
        <w:t>p</w:t>
      </w:r>
      <w:r>
        <w:rPr>
          <w:rFonts w:ascii="Times New Roman" w:hAnsi="Times New Roman"/>
          <w:i/>
          <w:sz w:val="24"/>
          <w:szCs w:val="24"/>
          <w:lang w:val="en-US"/>
        </w:rPr>
        <w:t>ayout</w:t>
      </w:r>
      <w:r>
        <w:rPr>
          <w:rFonts w:ascii="Times New Roman" w:hAnsi="Times New Roman"/>
          <w:sz w:val="24"/>
          <w:szCs w:val="24"/>
          <w:lang w:val="en-US"/>
        </w:rPr>
        <w:t>, as measured here by the median dummy (equal to one for households with a net payout smaller than the median),</w:t>
      </w:r>
      <w:r>
        <w:rPr>
          <w:rFonts w:ascii="Times New Roman" w:hAnsi="Times New Roman"/>
          <w:i/>
          <w:sz w:val="24"/>
          <w:szCs w:val="24"/>
          <w:lang w:val="en-US"/>
        </w:rPr>
        <w:t xml:space="preserve"> </w:t>
      </w:r>
      <w:r>
        <w:rPr>
          <w:rFonts w:ascii="Times New Roman" w:hAnsi="Times New Roman"/>
          <w:sz w:val="24"/>
          <w:szCs w:val="24"/>
          <w:lang w:val="en-US"/>
        </w:rPr>
        <w:t xml:space="preserve">has a significant negative effect on the renewal probability even when we control for the levels of information and understanding. In other words, having had a comparatively low net insurance payout during the current period (2010-2011) reduces the likelihood of contract renewal. Interestingly, the threshold (median) value used, equal to -450 Rs, is not very different from </w:t>
      </w:r>
      <w:r>
        <w:rPr>
          <w:rFonts w:ascii="Times New Roman" w:hAnsi="Times New Roman"/>
          <w:sz w:val="24"/>
          <w:szCs w:val="24"/>
          <w:lang w:val="en-US"/>
        </w:rPr>
        <w:lastRenderedPageBreak/>
        <w:t xml:space="preserve">the average or median value of the insurance premium paid by the sample households (average: 582 Rs; median: 600 Rs). </w:t>
      </w:r>
      <w:r w:rsidR="00D966A6">
        <w:rPr>
          <w:rFonts w:ascii="Times New Roman" w:hAnsi="Times New Roman"/>
          <w:sz w:val="24"/>
          <w:szCs w:val="24"/>
          <w:lang w:val="en-US"/>
        </w:rPr>
        <w:t>Remember our previous finding that the average net payout is -509 Rs for the households which did not renew their contract (as against + 350 Rs for those which did). In other words, a</w:t>
      </w:r>
      <w:r w:rsidR="00B92906">
        <w:rPr>
          <w:rFonts w:ascii="Times New Roman" w:hAnsi="Times New Roman"/>
          <w:sz w:val="24"/>
          <w:szCs w:val="24"/>
          <w:lang w:val="en-US"/>
        </w:rPr>
        <w:t xml:space="preserve"> household</w:t>
      </w:r>
      <w:r>
        <w:rPr>
          <w:rFonts w:ascii="Times New Roman" w:hAnsi="Times New Roman"/>
          <w:sz w:val="24"/>
          <w:szCs w:val="24"/>
          <w:lang w:val="en-US"/>
        </w:rPr>
        <w:t xml:space="preserve"> which</w:t>
      </w:r>
      <w:r w:rsidR="00B92906">
        <w:rPr>
          <w:rFonts w:ascii="Times New Roman" w:hAnsi="Times New Roman"/>
          <w:sz w:val="24"/>
          <w:szCs w:val="24"/>
          <w:lang w:val="en-US"/>
        </w:rPr>
        <w:t xml:space="preserve"> did not renew its contract is one which ro</w:t>
      </w:r>
      <w:r w:rsidR="001A21F5">
        <w:rPr>
          <w:rFonts w:ascii="Times New Roman" w:hAnsi="Times New Roman"/>
          <w:sz w:val="24"/>
          <w:szCs w:val="24"/>
          <w:lang w:val="en-US"/>
        </w:rPr>
        <w:t xml:space="preserve">ughly paid the average premium </w:t>
      </w:r>
      <w:r w:rsidR="00B92906">
        <w:rPr>
          <w:rFonts w:ascii="Times New Roman" w:hAnsi="Times New Roman"/>
          <w:sz w:val="24"/>
          <w:szCs w:val="24"/>
          <w:lang w:val="en-US"/>
        </w:rPr>
        <w:t>and did no</w:t>
      </w:r>
      <w:r w:rsidR="00D22BA9">
        <w:rPr>
          <w:rFonts w:ascii="Times New Roman" w:hAnsi="Times New Roman"/>
          <w:sz w:val="24"/>
          <w:szCs w:val="24"/>
          <w:lang w:val="en-US"/>
        </w:rPr>
        <w:t>t obtain discounts</w:t>
      </w:r>
      <w:r w:rsidR="00D966A6">
        <w:rPr>
          <w:rFonts w:ascii="Times New Roman" w:hAnsi="Times New Roman"/>
          <w:sz w:val="24"/>
          <w:szCs w:val="24"/>
          <w:lang w:val="en-US"/>
        </w:rPr>
        <w:t xml:space="preserve"> </w:t>
      </w:r>
      <w:r w:rsidR="002104A8">
        <w:rPr>
          <w:rFonts w:ascii="Times New Roman" w:hAnsi="Times New Roman"/>
          <w:sz w:val="24"/>
          <w:szCs w:val="24"/>
          <w:lang w:val="en-US"/>
        </w:rPr>
        <w:t>(generally</w:t>
      </w:r>
      <w:r>
        <w:rPr>
          <w:rFonts w:ascii="Times New Roman" w:hAnsi="Times New Roman"/>
          <w:sz w:val="24"/>
          <w:szCs w:val="24"/>
          <w:lang w:val="en-US"/>
        </w:rPr>
        <w:t xml:space="preserve"> </w:t>
      </w:r>
      <w:r w:rsidR="00B92906">
        <w:rPr>
          <w:rFonts w:ascii="Times New Roman" w:hAnsi="Times New Roman"/>
          <w:sz w:val="24"/>
          <w:szCs w:val="24"/>
          <w:lang w:val="en-US"/>
        </w:rPr>
        <w:t>because, owing to a lack of information, it did not actually use the insurance)</w:t>
      </w:r>
      <w:r>
        <w:rPr>
          <w:rFonts w:ascii="Times New Roman" w:hAnsi="Times New Roman"/>
          <w:sz w:val="24"/>
          <w:szCs w:val="24"/>
          <w:lang w:val="en-US"/>
        </w:rPr>
        <w:t>.</w:t>
      </w:r>
      <w:r>
        <w:rPr>
          <w:rStyle w:val="Appelnotedebasdep"/>
          <w:rFonts w:ascii="Times New Roman" w:hAnsi="Times New Roman"/>
          <w:sz w:val="24"/>
          <w:szCs w:val="24"/>
          <w:lang w:val="en-US"/>
        </w:rPr>
        <w:footnoteReference w:id="27"/>
      </w:r>
    </w:p>
    <w:p w:rsidR="00B71B3E" w:rsidRDefault="00D51BBF"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In addition</w:t>
      </w:r>
      <w:r w:rsidR="00B71B3E">
        <w:rPr>
          <w:rFonts w:ascii="Times New Roman" w:hAnsi="Times New Roman"/>
          <w:sz w:val="24"/>
          <w:szCs w:val="24"/>
          <w:lang w:val="en-US"/>
        </w:rPr>
        <w:t xml:space="preserve">, the effect of the interaction between net </w:t>
      </w:r>
      <w:r>
        <w:rPr>
          <w:rFonts w:ascii="Times New Roman" w:hAnsi="Times New Roman"/>
          <w:sz w:val="24"/>
          <w:szCs w:val="24"/>
          <w:lang w:val="en-US"/>
        </w:rPr>
        <w:t>payout and understanding is</w:t>
      </w:r>
      <w:r w:rsidR="00B71B3E">
        <w:rPr>
          <w:rFonts w:ascii="Times New Roman" w:hAnsi="Times New Roman"/>
          <w:sz w:val="24"/>
          <w:szCs w:val="24"/>
          <w:lang w:val="en-US"/>
        </w:rPr>
        <w:t xml:space="preserve"> </w:t>
      </w:r>
      <w:r>
        <w:rPr>
          <w:rFonts w:ascii="Times New Roman" w:hAnsi="Times New Roman"/>
          <w:sz w:val="24"/>
          <w:szCs w:val="24"/>
          <w:lang w:val="en-US"/>
        </w:rPr>
        <w:t>statistically significant and</w:t>
      </w:r>
      <w:r w:rsidR="00B71B3E">
        <w:rPr>
          <w:rFonts w:ascii="Times New Roman" w:hAnsi="Times New Roman"/>
          <w:sz w:val="24"/>
          <w:szCs w:val="24"/>
          <w:lang w:val="en-US"/>
        </w:rPr>
        <w:t xml:space="preserve"> positive. This means that the negative influence of having had a net negative payout (below the median value) on the probability of contract renewal is dampened when the household has a better understanding of the insurance concept. Both the significance and the size of the coefficients of </w:t>
      </w:r>
      <w:r w:rsidR="000E1179">
        <w:rPr>
          <w:rFonts w:ascii="Times New Roman" w:hAnsi="Times New Roman"/>
          <w:i/>
          <w:sz w:val="24"/>
          <w:szCs w:val="24"/>
          <w:lang w:val="en-US"/>
        </w:rPr>
        <w:t>p</w:t>
      </w:r>
      <w:r w:rsidR="00B71B3E">
        <w:rPr>
          <w:rFonts w:ascii="Times New Roman" w:hAnsi="Times New Roman"/>
          <w:i/>
          <w:sz w:val="24"/>
          <w:szCs w:val="24"/>
          <w:lang w:val="en-US"/>
        </w:rPr>
        <w:t>ayout</w:t>
      </w:r>
      <w:r w:rsidR="00B71B3E">
        <w:rPr>
          <w:rFonts w:ascii="Times New Roman" w:hAnsi="Times New Roman"/>
          <w:sz w:val="24"/>
          <w:szCs w:val="24"/>
          <w:lang w:val="en-US"/>
        </w:rPr>
        <w:t xml:space="preserve"> and </w:t>
      </w:r>
      <w:r w:rsidR="000E1179">
        <w:rPr>
          <w:rFonts w:ascii="Times New Roman" w:hAnsi="Times New Roman"/>
          <w:i/>
          <w:sz w:val="24"/>
          <w:szCs w:val="24"/>
          <w:lang w:val="en-US"/>
        </w:rPr>
        <w:t>p</w:t>
      </w:r>
      <w:r w:rsidR="00B71B3E">
        <w:rPr>
          <w:rFonts w:ascii="Times New Roman" w:hAnsi="Times New Roman"/>
          <w:i/>
          <w:sz w:val="24"/>
          <w:szCs w:val="24"/>
          <w:lang w:val="en-US"/>
        </w:rPr>
        <w:t>ayout</w:t>
      </w:r>
      <w:r w:rsidR="00B71B3E" w:rsidRPr="0006279F">
        <w:rPr>
          <w:rFonts w:ascii="Times New Roman" w:hAnsi="Times New Roman"/>
          <w:i/>
          <w:sz w:val="24"/>
          <w:szCs w:val="24"/>
          <w:lang w:val="en-US"/>
        </w:rPr>
        <w:t>xUnd</w:t>
      </w:r>
      <w:r w:rsidR="00B71B3E">
        <w:rPr>
          <w:rFonts w:ascii="Times New Roman" w:hAnsi="Times New Roman"/>
          <w:sz w:val="24"/>
          <w:szCs w:val="24"/>
          <w:lang w:val="en-US"/>
        </w:rPr>
        <w:t xml:space="preserve"> are barely affected when we use </w:t>
      </w:r>
      <w:r w:rsidR="00B71B3E">
        <w:rPr>
          <w:rFonts w:ascii="Times New Roman" w:hAnsi="Times New Roman"/>
          <w:i/>
          <w:sz w:val="24"/>
          <w:szCs w:val="24"/>
          <w:lang w:val="en-US"/>
        </w:rPr>
        <w:t xml:space="preserve">INFO_1 </w:t>
      </w:r>
      <w:r w:rsidR="00B71B3E">
        <w:rPr>
          <w:rFonts w:ascii="Times New Roman" w:hAnsi="Times New Roman"/>
          <w:sz w:val="24"/>
          <w:szCs w:val="24"/>
          <w:lang w:val="en-US"/>
        </w:rPr>
        <w:t xml:space="preserve">(the highest level of information) instead of </w:t>
      </w:r>
      <w:r w:rsidR="00B71B3E">
        <w:rPr>
          <w:rFonts w:ascii="Times New Roman" w:hAnsi="Times New Roman"/>
          <w:i/>
          <w:sz w:val="24"/>
          <w:szCs w:val="24"/>
          <w:lang w:val="en-US"/>
        </w:rPr>
        <w:t xml:space="preserve">INFO_2 </w:t>
      </w:r>
      <w:r w:rsidR="00B71B3E">
        <w:rPr>
          <w:rFonts w:ascii="Times New Roman" w:hAnsi="Times New Roman"/>
          <w:sz w:val="24"/>
          <w:szCs w:val="24"/>
          <w:lang w:val="en-US"/>
        </w:rPr>
        <w:t xml:space="preserve">as our measure of the household’s information level. When the definition of either </w:t>
      </w:r>
      <w:r w:rsidR="000E1179">
        <w:rPr>
          <w:rFonts w:ascii="Times New Roman" w:hAnsi="Times New Roman"/>
          <w:i/>
          <w:sz w:val="24"/>
          <w:szCs w:val="24"/>
          <w:lang w:val="en-US"/>
        </w:rPr>
        <w:t>p</w:t>
      </w:r>
      <w:r w:rsidR="00B71B3E">
        <w:rPr>
          <w:rFonts w:ascii="Times New Roman" w:hAnsi="Times New Roman"/>
          <w:i/>
          <w:sz w:val="24"/>
          <w:szCs w:val="24"/>
          <w:lang w:val="en-US"/>
        </w:rPr>
        <w:t xml:space="preserve">ayout </w:t>
      </w:r>
      <w:r w:rsidR="00B71B3E">
        <w:rPr>
          <w:rFonts w:ascii="Times New Roman" w:hAnsi="Times New Roman"/>
          <w:sz w:val="24"/>
          <w:szCs w:val="24"/>
          <w:lang w:val="en-US"/>
        </w:rPr>
        <w:t xml:space="preserve">or </w:t>
      </w:r>
      <w:r w:rsidR="00B71B3E">
        <w:rPr>
          <w:rFonts w:ascii="Times New Roman" w:hAnsi="Times New Roman"/>
          <w:i/>
          <w:sz w:val="24"/>
          <w:szCs w:val="24"/>
          <w:lang w:val="en-US"/>
        </w:rPr>
        <w:t xml:space="preserve">Und </w:t>
      </w:r>
      <w:r w:rsidR="00B71B3E">
        <w:rPr>
          <w:rFonts w:ascii="Times New Roman" w:hAnsi="Times New Roman"/>
          <w:sz w:val="24"/>
          <w:szCs w:val="24"/>
          <w:lang w:val="en-US"/>
        </w:rPr>
        <w:t>is modified, the effect of the interaction term ceases to be significant in many cases, yet it is worth emphasizing that the sign of coefficient ω always remains positive. Note, in particular, that when the net insurance payout is measured subjectively (using a dummy equal to one when the household perceives to have earned a negative net payout), the effect of the interaction term is not significant, yet is positive. The message of all these estimates is therefore double. For one thing, households respond differently to a negative net payout depending on the size of the loss: when the negative payout is not too large</w:t>
      </w:r>
      <w:r w:rsidR="00122BD9">
        <w:rPr>
          <w:rFonts w:ascii="Times New Roman" w:hAnsi="Times New Roman"/>
          <w:sz w:val="24"/>
          <w:szCs w:val="24"/>
          <w:lang w:val="en-US"/>
        </w:rPr>
        <w:t>, meaning that it is on average smaller than the (average) risk premium</w:t>
      </w:r>
      <w:r w:rsidR="00D22BA9">
        <w:rPr>
          <w:rFonts w:ascii="Times New Roman" w:hAnsi="Times New Roman"/>
          <w:sz w:val="24"/>
          <w:szCs w:val="24"/>
          <w:lang w:val="en-US"/>
        </w:rPr>
        <w:t>, their renewal decision is not influenced by</w:t>
      </w:r>
      <w:r w:rsidR="00B71B3E">
        <w:rPr>
          <w:rFonts w:ascii="Times New Roman" w:hAnsi="Times New Roman"/>
          <w:sz w:val="24"/>
          <w:szCs w:val="24"/>
          <w:lang w:val="en-US"/>
        </w:rPr>
        <w:t xml:space="preserve"> the loss incurre</w:t>
      </w:r>
      <w:r w:rsidR="00D22BA9">
        <w:rPr>
          <w:rFonts w:ascii="Times New Roman" w:hAnsi="Times New Roman"/>
          <w:sz w:val="24"/>
          <w:szCs w:val="24"/>
          <w:lang w:val="en-US"/>
        </w:rPr>
        <w:t>d</w:t>
      </w:r>
      <w:r w:rsidR="00B71B3E">
        <w:rPr>
          <w:rFonts w:ascii="Times New Roman" w:hAnsi="Times New Roman"/>
          <w:sz w:val="24"/>
          <w:szCs w:val="24"/>
          <w:lang w:val="en-US"/>
        </w:rPr>
        <w:t>. For another thing, the negative impact (on contract renewal) of the loss is mitigated when the household head has a better understanding of the insurance concept.</w:t>
      </w:r>
    </w:p>
    <w:p w:rsidR="00C65ADE" w:rsidRDefault="00063F71" w:rsidP="00CE22DF">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The latter conclusion is confirmed when we drop the </w:t>
      </w:r>
      <w:r>
        <w:rPr>
          <w:rFonts w:ascii="Times New Roman" w:hAnsi="Times New Roman"/>
          <w:i/>
          <w:sz w:val="24"/>
          <w:szCs w:val="24"/>
          <w:lang w:val="en-US"/>
        </w:rPr>
        <w:t xml:space="preserve">payout </w:t>
      </w:r>
      <w:r>
        <w:rPr>
          <w:rFonts w:ascii="Times New Roman" w:hAnsi="Times New Roman"/>
          <w:sz w:val="24"/>
          <w:szCs w:val="24"/>
          <w:lang w:val="en-US"/>
        </w:rPr>
        <w:t xml:space="preserve">variable and measure </w:t>
      </w:r>
      <w:r w:rsidR="005824B8">
        <w:rPr>
          <w:rFonts w:ascii="Times New Roman" w:hAnsi="Times New Roman"/>
          <w:sz w:val="24"/>
          <w:szCs w:val="24"/>
          <w:lang w:val="en-US"/>
        </w:rPr>
        <w:t>the</w:t>
      </w:r>
      <w:r>
        <w:rPr>
          <w:rFonts w:ascii="Times New Roman" w:hAnsi="Times New Roman"/>
          <w:sz w:val="24"/>
          <w:szCs w:val="24"/>
          <w:lang w:val="en-US"/>
        </w:rPr>
        <w:t xml:space="preserve"> benefits</w:t>
      </w:r>
      <w:r w:rsidR="005824B8">
        <w:rPr>
          <w:rFonts w:ascii="Times New Roman" w:hAnsi="Times New Roman"/>
          <w:sz w:val="24"/>
          <w:szCs w:val="24"/>
          <w:lang w:val="en-US"/>
        </w:rPr>
        <w:t xml:space="preserve"> from insurance (or the lack of them)</w:t>
      </w:r>
      <w:r>
        <w:rPr>
          <w:rFonts w:ascii="Times New Roman" w:hAnsi="Times New Roman"/>
          <w:sz w:val="24"/>
          <w:szCs w:val="24"/>
          <w:lang w:val="en-US"/>
        </w:rPr>
        <w:t xml:space="preserve"> differently. The three following variables have been considered and interacted with our understanding variable: (i) a dummy equal</w:t>
      </w:r>
      <w:r w:rsidR="00CA6F48">
        <w:rPr>
          <w:rFonts w:ascii="Times New Roman" w:hAnsi="Times New Roman"/>
          <w:sz w:val="24"/>
          <w:szCs w:val="24"/>
          <w:lang w:val="en-US"/>
        </w:rPr>
        <w:t xml:space="preserve"> to one if the household has visited a</w:t>
      </w:r>
      <w:r>
        <w:rPr>
          <w:rFonts w:ascii="Times New Roman" w:hAnsi="Times New Roman"/>
          <w:sz w:val="24"/>
          <w:szCs w:val="24"/>
          <w:lang w:val="en-US"/>
        </w:rPr>
        <w:t xml:space="preserve"> health facility</w:t>
      </w:r>
      <w:r w:rsidR="00CA6F48">
        <w:rPr>
          <w:rFonts w:ascii="Times New Roman" w:hAnsi="Times New Roman"/>
          <w:sz w:val="24"/>
          <w:szCs w:val="24"/>
          <w:lang w:val="en-US"/>
        </w:rPr>
        <w:t xml:space="preserve"> </w:t>
      </w:r>
      <w:r w:rsidR="00460F2C">
        <w:rPr>
          <w:rFonts w:ascii="Times New Roman" w:hAnsi="Times New Roman"/>
          <w:sz w:val="24"/>
          <w:szCs w:val="24"/>
          <w:lang w:val="en-US"/>
        </w:rPr>
        <w:t xml:space="preserve">(any one of them, covered or not by the scheme) </w:t>
      </w:r>
      <w:r w:rsidR="00CA6F48">
        <w:rPr>
          <w:rFonts w:ascii="Times New Roman" w:hAnsi="Times New Roman"/>
          <w:sz w:val="24"/>
          <w:szCs w:val="24"/>
          <w:lang w:val="en-US"/>
        </w:rPr>
        <w:lastRenderedPageBreak/>
        <w:t>fewer than three times</w:t>
      </w:r>
      <w:r>
        <w:rPr>
          <w:rFonts w:ascii="Times New Roman" w:hAnsi="Times New Roman"/>
          <w:sz w:val="24"/>
          <w:szCs w:val="24"/>
          <w:lang w:val="en-US"/>
        </w:rPr>
        <w:t xml:space="preserve"> during the year 2010-2011 (the dummy is labeled </w:t>
      </w:r>
      <w:r w:rsidR="00460F2C">
        <w:rPr>
          <w:rFonts w:ascii="Times New Roman" w:hAnsi="Times New Roman"/>
          <w:i/>
          <w:sz w:val="24"/>
          <w:szCs w:val="24"/>
          <w:lang w:val="en-US"/>
        </w:rPr>
        <w:t>low</w:t>
      </w:r>
      <w:r>
        <w:rPr>
          <w:rFonts w:ascii="Times New Roman" w:hAnsi="Times New Roman"/>
          <w:i/>
          <w:sz w:val="24"/>
          <w:szCs w:val="24"/>
          <w:lang w:val="en-US"/>
        </w:rPr>
        <w:t>_visit</w:t>
      </w:r>
      <w:r w:rsidR="00460F2C">
        <w:rPr>
          <w:rFonts w:ascii="Times New Roman" w:hAnsi="Times New Roman"/>
          <w:i/>
          <w:sz w:val="24"/>
          <w:szCs w:val="24"/>
          <w:lang w:val="en-US"/>
        </w:rPr>
        <w:t>_frequency</w:t>
      </w:r>
      <w:r>
        <w:rPr>
          <w:rFonts w:ascii="Times New Roman" w:hAnsi="Times New Roman"/>
          <w:sz w:val="24"/>
          <w:szCs w:val="24"/>
          <w:lang w:val="en-US"/>
        </w:rPr>
        <w:t xml:space="preserve">), </w:t>
      </w:r>
      <w:r w:rsidR="00460F2C">
        <w:rPr>
          <w:rFonts w:ascii="Times New Roman" w:hAnsi="Times New Roman"/>
          <w:sz w:val="24"/>
          <w:szCs w:val="24"/>
          <w:lang w:val="en-US"/>
        </w:rPr>
        <w:t xml:space="preserve">thus </w:t>
      </w:r>
      <w:r w:rsidR="005824B8">
        <w:rPr>
          <w:rFonts w:ascii="Times New Roman" w:hAnsi="Times New Roman"/>
          <w:sz w:val="24"/>
          <w:szCs w:val="24"/>
          <w:lang w:val="en-US"/>
        </w:rPr>
        <w:t xml:space="preserve">reflecting a lack of benefits, </w:t>
      </w:r>
      <w:r>
        <w:rPr>
          <w:rFonts w:ascii="Times New Roman" w:hAnsi="Times New Roman"/>
          <w:sz w:val="24"/>
          <w:szCs w:val="24"/>
          <w:lang w:val="en-US"/>
        </w:rPr>
        <w:t xml:space="preserve">(ii) a continuous variable corresponding to the number of illnesses suffered by the household (labeled </w:t>
      </w:r>
      <w:r>
        <w:rPr>
          <w:rFonts w:ascii="Times New Roman" w:hAnsi="Times New Roman"/>
          <w:i/>
          <w:sz w:val="24"/>
          <w:szCs w:val="24"/>
          <w:lang w:val="en-US"/>
        </w:rPr>
        <w:t>nr_illnesses</w:t>
      </w:r>
      <w:r>
        <w:rPr>
          <w:rFonts w:ascii="Times New Roman" w:hAnsi="Times New Roman"/>
          <w:sz w:val="24"/>
          <w:szCs w:val="24"/>
          <w:lang w:val="en-US"/>
        </w:rPr>
        <w:t xml:space="preserve">), </w:t>
      </w:r>
      <w:r w:rsidR="005824B8">
        <w:rPr>
          <w:rFonts w:ascii="Times New Roman" w:hAnsi="Times New Roman"/>
          <w:sz w:val="24"/>
          <w:szCs w:val="24"/>
          <w:lang w:val="en-US"/>
        </w:rPr>
        <w:t xml:space="preserve">reflecting potential benefits, </w:t>
      </w:r>
      <w:r>
        <w:rPr>
          <w:rFonts w:ascii="Times New Roman" w:hAnsi="Times New Roman"/>
          <w:sz w:val="24"/>
          <w:szCs w:val="24"/>
          <w:lang w:val="en-US"/>
        </w:rPr>
        <w:t xml:space="preserve">and (iii) the dummy </w:t>
      </w:r>
      <w:r>
        <w:rPr>
          <w:rFonts w:ascii="Times New Roman" w:hAnsi="Times New Roman"/>
          <w:i/>
          <w:sz w:val="24"/>
          <w:szCs w:val="24"/>
          <w:lang w:val="en-US"/>
        </w:rPr>
        <w:t>sick</w:t>
      </w:r>
      <w:r w:rsidR="008F39B0">
        <w:rPr>
          <w:rFonts w:ascii="Times New Roman" w:hAnsi="Times New Roman"/>
          <w:i/>
          <w:sz w:val="24"/>
          <w:szCs w:val="24"/>
          <w:lang w:val="en-US"/>
        </w:rPr>
        <w:t>_member</w:t>
      </w:r>
      <w:r>
        <w:rPr>
          <w:rFonts w:ascii="Times New Roman" w:hAnsi="Times New Roman"/>
          <w:i/>
          <w:sz w:val="24"/>
          <w:szCs w:val="24"/>
          <w:lang w:val="en-US"/>
        </w:rPr>
        <w:t>_present</w:t>
      </w:r>
      <w:r w:rsidR="005824B8">
        <w:rPr>
          <w:rFonts w:ascii="Times New Roman" w:hAnsi="Times New Roman"/>
          <w:sz w:val="24"/>
          <w:szCs w:val="24"/>
          <w:lang w:val="en-US"/>
        </w:rPr>
        <w:t>, which again reflects potential benefits.</w:t>
      </w:r>
      <w:r w:rsidR="00460F2C">
        <w:rPr>
          <w:rStyle w:val="Appelnotedebasdep"/>
          <w:rFonts w:ascii="Times New Roman" w:hAnsi="Times New Roman"/>
          <w:sz w:val="24"/>
          <w:szCs w:val="24"/>
          <w:lang w:val="en-US"/>
        </w:rPr>
        <w:footnoteReference w:id="28"/>
      </w:r>
      <w:r>
        <w:rPr>
          <w:rFonts w:ascii="Times New Roman" w:hAnsi="Times New Roman"/>
          <w:sz w:val="24"/>
          <w:szCs w:val="24"/>
          <w:lang w:val="en-US"/>
        </w:rPr>
        <w:t xml:space="preserve"> It is evident from Appendix C where these results are reported that </w:t>
      </w:r>
      <w:r w:rsidR="00F8194E">
        <w:rPr>
          <w:rFonts w:ascii="Times New Roman" w:hAnsi="Times New Roman"/>
          <w:sz w:val="24"/>
          <w:szCs w:val="24"/>
          <w:lang w:val="en-US"/>
        </w:rPr>
        <w:t>the interaction term is always strongly significant and that the sign of its coefficient always points to a mitigating impact of a good understanding of the notion of insurance. As a matter of fact, the sign is always the opposite of the sign of the isolated variable used to measure either the importance or the lack of benefits from insurance.</w:t>
      </w:r>
    </w:p>
    <w:p w:rsidR="00CE22DF" w:rsidRPr="00E852C3" w:rsidRDefault="00605CE5" w:rsidP="00E852C3">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Clearly, </w:t>
      </w:r>
      <w:r w:rsidR="00D22BA9">
        <w:rPr>
          <w:rFonts w:ascii="Times New Roman" w:hAnsi="Times New Roman"/>
          <w:sz w:val="24"/>
          <w:szCs w:val="24"/>
          <w:lang w:val="en-US"/>
        </w:rPr>
        <w:t>the above finding ‒</w:t>
      </w:r>
      <w:r>
        <w:rPr>
          <w:rFonts w:ascii="Times New Roman" w:hAnsi="Times New Roman"/>
          <w:sz w:val="24"/>
          <w:szCs w:val="24"/>
          <w:lang w:val="en-US"/>
        </w:rPr>
        <w:t>understanding of insuran</w:t>
      </w:r>
      <w:r w:rsidR="00D22BA9">
        <w:rPr>
          <w:rFonts w:ascii="Times New Roman" w:hAnsi="Times New Roman"/>
          <w:sz w:val="24"/>
          <w:szCs w:val="24"/>
          <w:lang w:val="en-US"/>
        </w:rPr>
        <w:t>ce influences</w:t>
      </w:r>
      <w:r>
        <w:rPr>
          <w:rFonts w:ascii="Times New Roman" w:hAnsi="Times New Roman"/>
          <w:sz w:val="24"/>
          <w:szCs w:val="24"/>
          <w:lang w:val="en-US"/>
        </w:rPr>
        <w:t xml:space="preserve"> contract renewal even after controlling for the</w:t>
      </w:r>
      <w:r w:rsidR="000F44A9">
        <w:rPr>
          <w:rFonts w:ascii="Times New Roman" w:hAnsi="Times New Roman"/>
          <w:sz w:val="24"/>
          <w:szCs w:val="24"/>
          <w:lang w:val="en-US"/>
        </w:rPr>
        <w:t xml:space="preserve"> benefit</w:t>
      </w:r>
      <w:r w:rsidR="00D22BA9">
        <w:rPr>
          <w:rFonts w:ascii="Times New Roman" w:hAnsi="Times New Roman"/>
          <w:sz w:val="24"/>
          <w:szCs w:val="24"/>
          <w:lang w:val="en-US"/>
        </w:rPr>
        <w:t>s</w:t>
      </w:r>
      <w:r w:rsidR="000F44A9">
        <w:rPr>
          <w:rFonts w:ascii="Times New Roman" w:hAnsi="Times New Roman"/>
          <w:sz w:val="24"/>
          <w:szCs w:val="24"/>
          <w:lang w:val="en-US"/>
        </w:rPr>
        <w:t xml:space="preserve"> obtained</w:t>
      </w:r>
      <w:r>
        <w:rPr>
          <w:rFonts w:ascii="Times New Roman" w:hAnsi="Times New Roman"/>
          <w:sz w:val="24"/>
          <w:szCs w:val="24"/>
          <w:lang w:val="en-US"/>
        </w:rPr>
        <w:t>‒ cannot be explained by the</w:t>
      </w:r>
      <w:r w:rsidR="001C0DE3">
        <w:rPr>
          <w:rFonts w:ascii="Times New Roman" w:hAnsi="Times New Roman"/>
          <w:sz w:val="24"/>
          <w:szCs w:val="24"/>
          <w:lang w:val="en-US"/>
        </w:rPr>
        <w:t xml:space="preserve"> belief updating</w:t>
      </w:r>
      <w:r>
        <w:rPr>
          <w:rFonts w:ascii="Times New Roman" w:hAnsi="Times New Roman"/>
          <w:sz w:val="24"/>
          <w:szCs w:val="24"/>
          <w:lang w:val="en-US"/>
        </w:rPr>
        <w:t xml:space="preserve"> process posited in the</w:t>
      </w:r>
      <w:r w:rsidR="001C0DE3">
        <w:rPr>
          <w:rFonts w:ascii="Times New Roman" w:hAnsi="Times New Roman"/>
          <w:sz w:val="24"/>
          <w:szCs w:val="24"/>
          <w:lang w:val="en-US"/>
        </w:rPr>
        <w:t xml:space="preserve"> classi</w:t>
      </w:r>
      <w:r>
        <w:rPr>
          <w:rFonts w:ascii="Times New Roman" w:hAnsi="Times New Roman"/>
          <w:sz w:val="24"/>
          <w:szCs w:val="24"/>
          <w:lang w:val="en-US"/>
        </w:rPr>
        <w:t>cal Bayesian model</w:t>
      </w:r>
      <w:r w:rsidR="000F44A9">
        <w:rPr>
          <w:rFonts w:ascii="Times New Roman" w:hAnsi="Times New Roman"/>
          <w:sz w:val="24"/>
          <w:szCs w:val="24"/>
          <w:lang w:val="en-US"/>
        </w:rPr>
        <w:t>.</w:t>
      </w:r>
      <w:r w:rsidR="00EF5D7B">
        <w:rPr>
          <w:rStyle w:val="Appelnotedebasdep"/>
          <w:rFonts w:ascii="Times New Roman" w:hAnsi="Times New Roman"/>
          <w:sz w:val="24"/>
          <w:szCs w:val="24"/>
          <w:lang w:val="en-US"/>
        </w:rPr>
        <w:footnoteReference w:id="29"/>
      </w:r>
      <w:r w:rsidR="000F44A9">
        <w:rPr>
          <w:rFonts w:ascii="Times New Roman" w:hAnsi="Times New Roman"/>
          <w:sz w:val="24"/>
          <w:szCs w:val="24"/>
          <w:lang w:val="en-US"/>
        </w:rPr>
        <w:t xml:space="preserve"> </w:t>
      </w:r>
      <w:r w:rsidR="00D22BA9">
        <w:rPr>
          <w:rFonts w:ascii="Times New Roman" w:hAnsi="Times New Roman"/>
          <w:sz w:val="24"/>
          <w:szCs w:val="24"/>
          <w:lang w:val="en-US"/>
        </w:rPr>
        <w:t>Bearing in mind that</w:t>
      </w:r>
      <w:r w:rsidR="003B3226">
        <w:rPr>
          <w:rFonts w:ascii="Times New Roman" w:hAnsi="Times New Roman"/>
          <w:sz w:val="24"/>
          <w:szCs w:val="24"/>
          <w:lang w:val="en-US"/>
        </w:rPr>
        <w:t xml:space="preserve"> we explain variations in contract renewal rather than subscription behavior, it makes sense to conclude that people with the same prior belief have different capacities to </w:t>
      </w:r>
      <w:r w:rsidR="000E11EF">
        <w:rPr>
          <w:rFonts w:ascii="Times New Roman" w:hAnsi="Times New Roman"/>
          <w:sz w:val="24"/>
          <w:szCs w:val="24"/>
          <w:lang w:val="en-US"/>
        </w:rPr>
        <w:t xml:space="preserve">interpret the signal that has been sent them during the period preceding the renewal decision. The signal is </w:t>
      </w:r>
      <w:r w:rsidR="006B6422">
        <w:rPr>
          <w:rFonts w:ascii="Times New Roman" w:hAnsi="Times New Roman"/>
          <w:sz w:val="24"/>
          <w:szCs w:val="24"/>
          <w:lang w:val="en-US"/>
        </w:rPr>
        <w:t>that the insurer subsidized the health expenditures that arose</w:t>
      </w:r>
      <w:r w:rsidR="003B3226">
        <w:rPr>
          <w:rFonts w:ascii="Times New Roman" w:hAnsi="Times New Roman"/>
          <w:sz w:val="24"/>
          <w:szCs w:val="24"/>
          <w:lang w:val="en-US"/>
        </w:rPr>
        <w:t xml:space="preserve"> </w:t>
      </w:r>
      <w:r w:rsidR="006B6422">
        <w:rPr>
          <w:rFonts w:ascii="Times New Roman" w:hAnsi="Times New Roman"/>
          <w:sz w:val="24"/>
          <w:szCs w:val="24"/>
          <w:lang w:val="en-US"/>
        </w:rPr>
        <w:t>(control</w:t>
      </w:r>
      <w:r w:rsidR="007F6897">
        <w:rPr>
          <w:rFonts w:ascii="Times New Roman" w:hAnsi="Times New Roman"/>
          <w:sz w:val="24"/>
          <w:szCs w:val="24"/>
          <w:lang w:val="en-US"/>
        </w:rPr>
        <w:t>ling</w:t>
      </w:r>
      <w:r w:rsidR="006B6422">
        <w:rPr>
          <w:rFonts w:ascii="Times New Roman" w:hAnsi="Times New Roman"/>
          <w:sz w:val="24"/>
          <w:szCs w:val="24"/>
          <w:lang w:val="en-US"/>
        </w:rPr>
        <w:t xml:space="preserve"> for the level of information</w:t>
      </w:r>
      <w:r w:rsidR="009529A1">
        <w:rPr>
          <w:rFonts w:ascii="Times New Roman" w:hAnsi="Times New Roman"/>
          <w:sz w:val="24"/>
          <w:szCs w:val="24"/>
          <w:lang w:val="en-US"/>
        </w:rPr>
        <w:t xml:space="preserve"> which determines use of insured services</w:t>
      </w:r>
      <w:r w:rsidR="00F32D55">
        <w:rPr>
          <w:rFonts w:ascii="Times New Roman" w:hAnsi="Times New Roman"/>
          <w:sz w:val="24"/>
          <w:szCs w:val="24"/>
          <w:lang w:val="en-US"/>
        </w:rPr>
        <w:t>), yet in most cases</w:t>
      </w:r>
      <w:r w:rsidR="009F5F84">
        <w:rPr>
          <w:rFonts w:ascii="Times New Roman" w:hAnsi="Times New Roman"/>
          <w:sz w:val="24"/>
          <w:szCs w:val="24"/>
          <w:lang w:val="en-US"/>
        </w:rPr>
        <w:t>,</w:t>
      </w:r>
      <w:r w:rsidR="00F32D55">
        <w:rPr>
          <w:rFonts w:ascii="Times New Roman" w:hAnsi="Times New Roman"/>
          <w:sz w:val="24"/>
          <w:szCs w:val="24"/>
          <w:lang w:val="en-US"/>
        </w:rPr>
        <w:t xml:space="preserve"> </w:t>
      </w:r>
      <w:r w:rsidR="009F5F84">
        <w:rPr>
          <w:rFonts w:ascii="Times New Roman" w:hAnsi="Times New Roman"/>
          <w:sz w:val="24"/>
          <w:szCs w:val="24"/>
          <w:lang w:val="en-US"/>
        </w:rPr>
        <w:t xml:space="preserve">because few health shocks occurred, </w:t>
      </w:r>
      <w:r w:rsidR="00F32D55">
        <w:rPr>
          <w:rFonts w:ascii="Times New Roman" w:hAnsi="Times New Roman"/>
          <w:sz w:val="24"/>
          <w:szCs w:val="24"/>
          <w:lang w:val="en-US"/>
        </w:rPr>
        <w:t>the net insurance payout turned out to be negative</w:t>
      </w:r>
      <w:r w:rsidR="009F5F84">
        <w:rPr>
          <w:rFonts w:ascii="Times New Roman" w:hAnsi="Times New Roman"/>
          <w:sz w:val="24"/>
          <w:szCs w:val="24"/>
          <w:lang w:val="en-US"/>
        </w:rPr>
        <w:t xml:space="preserve"> and people are aware of this (bear in mind that perceptions in this respect tend to coincide with reality)</w:t>
      </w:r>
      <w:r w:rsidR="00F32D55">
        <w:rPr>
          <w:rFonts w:ascii="Times New Roman" w:hAnsi="Times New Roman"/>
          <w:sz w:val="24"/>
          <w:szCs w:val="24"/>
          <w:lang w:val="en-US"/>
        </w:rPr>
        <w:t>. T</w:t>
      </w:r>
      <w:r w:rsidR="006B6422">
        <w:rPr>
          <w:rFonts w:ascii="Times New Roman" w:hAnsi="Times New Roman"/>
          <w:sz w:val="24"/>
          <w:szCs w:val="24"/>
          <w:lang w:val="en-US"/>
        </w:rPr>
        <w:t>wo interpretations</w:t>
      </w:r>
      <w:r w:rsidR="00F32D55">
        <w:rPr>
          <w:rFonts w:ascii="Times New Roman" w:hAnsi="Times New Roman"/>
          <w:sz w:val="24"/>
          <w:szCs w:val="24"/>
          <w:lang w:val="en-US"/>
        </w:rPr>
        <w:t xml:space="preserve"> of this signal</w:t>
      </w:r>
      <w:r w:rsidR="006B6422">
        <w:rPr>
          <w:rFonts w:ascii="Times New Roman" w:hAnsi="Times New Roman"/>
          <w:sz w:val="24"/>
          <w:szCs w:val="24"/>
          <w:lang w:val="en-US"/>
        </w:rPr>
        <w:t xml:space="preserve"> a</w:t>
      </w:r>
      <w:r w:rsidR="00F32D55">
        <w:rPr>
          <w:rFonts w:ascii="Times New Roman" w:hAnsi="Times New Roman"/>
          <w:sz w:val="24"/>
          <w:szCs w:val="24"/>
          <w:lang w:val="en-US"/>
        </w:rPr>
        <w:t>re then possible conditional upon</w:t>
      </w:r>
      <w:r w:rsidR="006B6422">
        <w:rPr>
          <w:rFonts w:ascii="Times New Roman" w:hAnsi="Times New Roman"/>
          <w:sz w:val="24"/>
          <w:szCs w:val="24"/>
          <w:lang w:val="en-US"/>
        </w:rPr>
        <w:t xml:space="preserve"> understanding capacity.</w:t>
      </w:r>
      <w:r w:rsidR="000F44A9">
        <w:rPr>
          <w:rFonts w:ascii="Times New Roman" w:hAnsi="Times New Roman"/>
          <w:sz w:val="24"/>
          <w:szCs w:val="24"/>
          <w:lang w:val="en-US"/>
        </w:rPr>
        <w:t xml:space="preserve"> </w:t>
      </w:r>
      <w:r w:rsidR="00E852C3">
        <w:rPr>
          <w:rFonts w:ascii="Times New Roman" w:hAnsi="Times New Roman"/>
          <w:sz w:val="24"/>
          <w:szCs w:val="24"/>
          <w:lang w:val="en-US"/>
        </w:rPr>
        <w:t>On the one hand, i</w:t>
      </w:r>
      <w:r w:rsidR="00F32D55">
        <w:rPr>
          <w:rFonts w:ascii="Times New Roman" w:hAnsi="Times New Roman"/>
          <w:sz w:val="24"/>
          <w:szCs w:val="24"/>
          <w:lang w:val="en-US"/>
        </w:rPr>
        <w:t>ndividuals with a good (implicit) understanding of the expected utility theory</w:t>
      </w:r>
      <w:r w:rsidR="00E53F71">
        <w:rPr>
          <w:rFonts w:ascii="Times New Roman" w:hAnsi="Times New Roman"/>
          <w:sz w:val="24"/>
          <w:szCs w:val="24"/>
          <w:lang w:val="en-US"/>
        </w:rPr>
        <w:t xml:space="preserve"> (those who consider lifetime wealth </w:t>
      </w:r>
      <w:r w:rsidR="001A71D9">
        <w:rPr>
          <w:rFonts w:ascii="Times New Roman" w:hAnsi="Times New Roman"/>
          <w:sz w:val="24"/>
          <w:szCs w:val="24"/>
          <w:lang w:val="en-US"/>
        </w:rPr>
        <w:t>rather than changes in wealth from a given reference point)</w:t>
      </w:r>
      <w:r w:rsidR="00F32D55">
        <w:rPr>
          <w:rFonts w:ascii="Times New Roman" w:hAnsi="Times New Roman"/>
          <w:sz w:val="24"/>
          <w:szCs w:val="24"/>
          <w:lang w:val="en-US"/>
        </w:rPr>
        <w:t xml:space="preserve"> do not judge that the signal contains negative information</w:t>
      </w:r>
      <w:r w:rsidR="00E852C3">
        <w:rPr>
          <w:rFonts w:ascii="Times New Roman" w:hAnsi="Times New Roman"/>
          <w:sz w:val="24"/>
          <w:szCs w:val="24"/>
          <w:lang w:val="en-US"/>
        </w:rPr>
        <w:t>, quite the contrary. I</w:t>
      </w:r>
      <w:r w:rsidR="00F32D55">
        <w:rPr>
          <w:rFonts w:ascii="Times New Roman" w:hAnsi="Times New Roman"/>
          <w:sz w:val="24"/>
          <w:szCs w:val="24"/>
          <w:lang w:val="en-US"/>
        </w:rPr>
        <w:t>t is</w:t>
      </w:r>
      <w:r w:rsidR="00E852C3">
        <w:rPr>
          <w:rFonts w:ascii="Times New Roman" w:hAnsi="Times New Roman"/>
          <w:sz w:val="24"/>
          <w:szCs w:val="24"/>
          <w:lang w:val="en-US"/>
        </w:rPr>
        <w:t xml:space="preserve"> in fact</w:t>
      </w:r>
      <w:r w:rsidR="00F32D55">
        <w:rPr>
          <w:rFonts w:ascii="Times New Roman" w:hAnsi="Times New Roman"/>
          <w:sz w:val="24"/>
          <w:szCs w:val="24"/>
          <w:lang w:val="en-US"/>
        </w:rPr>
        <w:t xml:space="preserve"> reassuring that</w:t>
      </w:r>
      <w:r w:rsidR="00E852C3">
        <w:rPr>
          <w:rFonts w:ascii="Times New Roman" w:hAnsi="Times New Roman"/>
          <w:sz w:val="24"/>
          <w:szCs w:val="24"/>
          <w:lang w:val="en-US"/>
        </w:rPr>
        <w:t xml:space="preserve"> the insuring company does what it is expected to do since the net (current) insurance payout could then well be positive some time in the future. On the other hand, individuals who do not reason in expected utility terms are disappointed by the information provided by the signal and, consequently, they respond to it by revising their expectations of the future benefits of insurance in a pessimistic direction.</w:t>
      </w:r>
      <w:r w:rsidR="00D22BA9">
        <w:rPr>
          <w:rFonts w:ascii="Times New Roman" w:hAnsi="Times New Roman"/>
          <w:sz w:val="24"/>
          <w:szCs w:val="24"/>
          <w:lang w:val="en-US"/>
        </w:rPr>
        <w:t xml:space="preserve"> Or alternatively, these individuals narrowly frame the short-term result constituted by the signal.</w:t>
      </w:r>
    </w:p>
    <w:p w:rsidR="00880CA8" w:rsidRDefault="000E1179" w:rsidP="00880CA8">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lastRenderedPageBreak/>
        <w:t>Turning now to the influence of the peers</w:t>
      </w:r>
      <w:r w:rsidR="00B71B3E">
        <w:rPr>
          <w:rFonts w:ascii="Times New Roman" w:hAnsi="Times New Roman"/>
          <w:sz w:val="24"/>
          <w:szCs w:val="24"/>
          <w:lang w:val="en-US"/>
        </w:rPr>
        <w:t>,</w:t>
      </w:r>
      <w:r>
        <w:rPr>
          <w:rFonts w:ascii="Times New Roman" w:hAnsi="Times New Roman"/>
          <w:sz w:val="24"/>
          <w:szCs w:val="24"/>
          <w:lang w:val="en-US"/>
        </w:rPr>
        <w:t xml:space="preserve"> we see that</w:t>
      </w:r>
      <w:r w:rsidR="00B71B3E">
        <w:rPr>
          <w:rFonts w:ascii="Times New Roman" w:hAnsi="Times New Roman"/>
          <w:sz w:val="24"/>
          <w:szCs w:val="24"/>
          <w:lang w:val="en-US"/>
        </w:rPr>
        <w:t xml:space="preserve"> the coefficient of </w:t>
      </w:r>
      <w:r w:rsidR="00B71B3E">
        <w:rPr>
          <w:rFonts w:ascii="Times New Roman" w:hAnsi="Times New Roman"/>
          <w:i/>
          <w:sz w:val="24"/>
          <w:szCs w:val="24"/>
          <w:lang w:val="en-US"/>
        </w:rPr>
        <w:t xml:space="preserve">peer_effect </w:t>
      </w:r>
      <w:r w:rsidR="00B71B3E">
        <w:rPr>
          <w:rFonts w:ascii="Times New Roman" w:hAnsi="Times New Roman"/>
          <w:sz w:val="24"/>
          <w:szCs w:val="24"/>
          <w:lang w:val="en-US"/>
        </w:rPr>
        <w:t xml:space="preserve">is significant and negative, indicating that households are influenced by the dropping-out behavior of close acquaintances. Interestingly, the interaction between </w:t>
      </w:r>
      <w:r w:rsidR="00B71B3E">
        <w:rPr>
          <w:rFonts w:ascii="Times New Roman" w:hAnsi="Times New Roman"/>
          <w:i/>
          <w:sz w:val="24"/>
          <w:szCs w:val="24"/>
          <w:lang w:val="en-US"/>
        </w:rPr>
        <w:t xml:space="preserve">peer_effect </w:t>
      </w:r>
      <w:r w:rsidR="00B71B3E">
        <w:rPr>
          <w:rFonts w:ascii="Times New Roman" w:hAnsi="Times New Roman"/>
          <w:sz w:val="24"/>
          <w:szCs w:val="24"/>
          <w:lang w:val="en-US"/>
        </w:rPr>
        <w:t xml:space="preserve">and </w:t>
      </w:r>
      <w:r w:rsidR="00B71B3E">
        <w:rPr>
          <w:rFonts w:ascii="Times New Roman" w:hAnsi="Times New Roman"/>
          <w:i/>
          <w:sz w:val="24"/>
          <w:szCs w:val="24"/>
          <w:lang w:val="en-US"/>
        </w:rPr>
        <w:t xml:space="preserve">Und </w:t>
      </w:r>
      <w:r w:rsidR="00B71B3E">
        <w:rPr>
          <w:rFonts w:ascii="Times New Roman" w:hAnsi="Times New Roman"/>
          <w:sz w:val="24"/>
          <w:szCs w:val="24"/>
          <w:lang w:val="en-US"/>
        </w:rPr>
        <w:t xml:space="preserve">is also significant and the sign of the coefficient is positive. Again, the negative influence of peers on contract renewal decision is mitigated </w:t>
      </w:r>
      <w:r w:rsidR="00491B2F">
        <w:rPr>
          <w:rFonts w:ascii="Times New Roman" w:hAnsi="Times New Roman"/>
          <w:sz w:val="24"/>
          <w:szCs w:val="24"/>
          <w:lang w:val="en-US"/>
        </w:rPr>
        <w:t>as</w:t>
      </w:r>
      <w:r w:rsidR="00B71B3E">
        <w:rPr>
          <w:rFonts w:ascii="Times New Roman" w:hAnsi="Times New Roman"/>
          <w:sz w:val="24"/>
          <w:szCs w:val="24"/>
          <w:lang w:val="en-US"/>
        </w:rPr>
        <w:t xml:space="preserve"> the level of understanding of the household is improved. </w:t>
      </w:r>
      <w:r w:rsidR="001577A7">
        <w:rPr>
          <w:rFonts w:ascii="Times New Roman" w:hAnsi="Times New Roman"/>
          <w:sz w:val="24"/>
          <w:szCs w:val="24"/>
          <w:lang w:val="en-US"/>
        </w:rPr>
        <w:t>It bears emphasis that the mitigating effect of a good understanding of insurance is quite strong. While it almost exactly compensates the (negative) effect of withdrawing peers ‒ see columns (5) and (6) ‒, it largely outweighs the effect of a (sufficiently large) negative payout, ‒ see columns (3) and (4)</w:t>
      </w:r>
      <w:r w:rsidR="00E4570B">
        <w:rPr>
          <w:rFonts w:ascii="Times New Roman" w:hAnsi="Times New Roman"/>
          <w:sz w:val="24"/>
          <w:szCs w:val="24"/>
          <w:lang w:val="en-US"/>
        </w:rPr>
        <w:t>, and Appendix C</w:t>
      </w:r>
      <w:r w:rsidR="001577A7">
        <w:rPr>
          <w:rFonts w:ascii="Times New Roman" w:hAnsi="Times New Roman"/>
          <w:sz w:val="24"/>
          <w:szCs w:val="24"/>
          <w:lang w:val="en-US"/>
        </w:rPr>
        <w:t xml:space="preserve">. Furthermore, if we estimate the model by including both </w:t>
      </w:r>
      <w:r w:rsidR="001577A7">
        <w:rPr>
          <w:rFonts w:ascii="Times New Roman" w:hAnsi="Times New Roman"/>
          <w:i/>
          <w:sz w:val="24"/>
          <w:szCs w:val="24"/>
          <w:lang w:val="en-US"/>
        </w:rPr>
        <w:t xml:space="preserve">payout </w:t>
      </w:r>
      <w:r w:rsidR="001577A7">
        <w:rPr>
          <w:rFonts w:ascii="Times New Roman" w:hAnsi="Times New Roman"/>
          <w:sz w:val="24"/>
          <w:szCs w:val="24"/>
          <w:lang w:val="en-US"/>
        </w:rPr>
        <w:t xml:space="preserve">and </w:t>
      </w:r>
      <w:r w:rsidR="001577A7">
        <w:rPr>
          <w:rFonts w:ascii="Times New Roman" w:hAnsi="Times New Roman"/>
          <w:i/>
          <w:sz w:val="24"/>
          <w:szCs w:val="24"/>
          <w:lang w:val="en-US"/>
        </w:rPr>
        <w:t xml:space="preserve">peer_effect </w:t>
      </w:r>
      <w:r w:rsidR="001577A7">
        <w:rPr>
          <w:rFonts w:ascii="Times New Roman" w:hAnsi="Times New Roman"/>
          <w:sz w:val="24"/>
          <w:szCs w:val="24"/>
          <w:lang w:val="en-US"/>
        </w:rPr>
        <w:t>together with their respective interaction terms, all the results stand except for the fact that the coefficient of the understanding variable (λ) is no more significant.</w:t>
      </w:r>
      <w:r w:rsidR="00880CA8">
        <w:rPr>
          <w:rFonts w:ascii="Times New Roman" w:hAnsi="Times New Roman"/>
          <w:sz w:val="24"/>
          <w:szCs w:val="24"/>
          <w:lang w:val="en-US"/>
        </w:rPr>
        <w:t xml:space="preserve"> </w:t>
      </w:r>
      <w:r w:rsidR="00B71B3E">
        <w:rPr>
          <w:rFonts w:ascii="Times New Roman" w:hAnsi="Times New Roman"/>
          <w:sz w:val="24"/>
          <w:szCs w:val="24"/>
          <w:lang w:val="en-US"/>
        </w:rPr>
        <w:t>F</w:t>
      </w:r>
      <w:r w:rsidR="001577A7">
        <w:rPr>
          <w:rFonts w:ascii="Times New Roman" w:hAnsi="Times New Roman"/>
          <w:sz w:val="24"/>
          <w:szCs w:val="24"/>
          <w:lang w:val="en-US"/>
        </w:rPr>
        <w:t>inally, f</w:t>
      </w:r>
      <w:r w:rsidR="00B71B3E">
        <w:rPr>
          <w:rFonts w:ascii="Times New Roman" w:hAnsi="Times New Roman"/>
          <w:sz w:val="24"/>
          <w:szCs w:val="24"/>
          <w:lang w:val="en-US"/>
        </w:rPr>
        <w:t>rom columns (7) to (9</w:t>
      </w:r>
      <w:r w:rsidR="00B71B3E" w:rsidRPr="00AF1820">
        <w:rPr>
          <w:rFonts w:ascii="Times New Roman" w:hAnsi="Times New Roman"/>
          <w:sz w:val="24"/>
          <w:szCs w:val="24"/>
          <w:lang w:val="en-US"/>
        </w:rPr>
        <w:t>)</w:t>
      </w:r>
      <w:r w:rsidR="00B71B3E">
        <w:rPr>
          <w:rFonts w:ascii="Times New Roman" w:hAnsi="Times New Roman"/>
          <w:sz w:val="24"/>
          <w:szCs w:val="24"/>
          <w:lang w:val="en-US"/>
        </w:rPr>
        <w:t>, it is evident</w:t>
      </w:r>
      <w:r>
        <w:rPr>
          <w:rFonts w:ascii="Times New Roman" w:hAnsi="Times New Roman"/>
          <w:sz w:val="24"/>
          <w:szCs w:val="24"/>
          <w:lang w:val="en-US"/>
        </w:rPr>
        <w:t xml:space="preserve"> that similar</w:t>
      </w:r>
      <w:r w:rsidR="00B71B3E" w:rsidRPr="00AF1820">
        <w:rPr>
          <w:rFonts w:ascii="Times New Roman" w:hAnsi="Times New Roman"/>
          <w:sz w:val="24"/>
          <w:szCs w:val="24"/>
          <w:lang w:val="en-US"/>
        </w:rPr>
        <w:t xml:space="preserve"> results are obtained with the selection model.</w:t>
      </w:r>
      <w:r w:rsidR="00B71B3E" w:rsidRPr="00AF1820">
        <w:rPr>
          <w:rStyle w:val="Appelnotedebasdep"/>
          <w:rFonts w:ascii="Times New Roman" w:hAnsi="Times New Roman"/>
          <w:sz w:val="24"/>
          <w:szCs w:val="24"/>
          <w:lang w:val="en-US"/>
        </w:rPr>
        <w:footnoteReference w:id="30"/>
      </w:r>
      <w:r w:rsidR="00491B2F">
        <w:rPr>
          <w:rFonts w:ascii="Times New Roman" w:hAnsi="Times New Roman"/>
          <w:sz w:val="24"/>
          <w:szCs w:val="24"/>
          <w:lang w:val="en-US"/>
        </w:rPr>
        <w:t xml:space="preserve"> </w:t>
      </w:r>
    </w:p>
    <w:p w:rsidR="00B71B3E" w:rsidRDefault="002104A8" w:rsidP="00AE3647">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There are other interesti</w:t>
      </w:r>
      <w:r w:rsidR="00231169">
        <w:rPr>
          <w:rFonts w:ascii="Times New Roman" w:hAnsi="Times New Roman"/>
          <w:sz w:val="24"/>
          <w:szCs w:val="24"/>
          <w:lang w:val="en-US"/>
        </w:rPr>
        <w:t>ng results coming out of Table 5</w:t>
      </w:r>
      <w:r>
        <w:rPr>
          <w:rFonts w:ascii="Times New Roman" w:hAnsi="Times New Roman"/>
          <w:sz w:val="24"/>
          <w:szCs w:val="24"/>
          <w:lang w:val="en-US"/>
        </w:rPr>
        <w:t>. To begin with, belonging to a self-help g</w:t>
      </w:r>
      <w:r w:rsidR="00231169">
        <w:rPr>
          <w:rFonts w:ascii="Times New Roman" w:hAnsi="Times New Roman"/>
          <w:sz w:val="24"/>
          <w:szCs w:val="24"/>
          <w:lang w:val="en-US"/>
        </w:rPr>
        <w:t>roup before the start of the insurance</w:t>
      </w:r>
      <w:r>
        <w:rPr>
          <w:rFonts w:ascii="Times New Roman" w:hAnsi="Times New Roman"/>
          <w:sz w:val="24"/>
          <w:szCs w:val="24"/>
          <w:lang w:val="en-US"/>
        </w:rPr>
        <w:t xml:space="preserve"> program has a positive effect not only on the probability to enter into that program (see Subsection 4.1) but also on the probability to renew the insurance contract. Yet, this effect is not observed when village fixed effects are added, indicating that villages differ with respect to the presence of self-help groups. The effect of participation</w:t>
      </w:r>
      <w:r w:rsidR="00231169">
        <w:rPr>
          <w:rFonts w:ascii="Times New Roman" w:hAnsi="Times New Roman"/>
          <w:sz w:val="24"/>
          <w:szCs w:val="24"/>
          <w:lang w:val="en-US"/>
        </w:rPr>
        <w:t xml:space="preserve"> to self-help groups on both initial take-up</w:t>
      </w:r>
      <w:r>
        <w:rPr>
          <w:rFonts w:ascii="Times New Roman" w:hAnsi="Times New Roman"/>
          <w:sz w:val="24"/>
          <w:szCs w:val="24"/>
          <w:lang w:val="en-US"/>
        </w:rPr>
        <w:t xml:space="preserve"> and renewal</w:t>
      </w:r>
      <w:r w:rsidR="00231169">
        <w:rPr>
          <w:rFonts w:ascii="Times New Roman" w:hAnsi="Times New Roman"/>
          <w:sz w:val="24"/>
          <w:szCs w:val="24"/>
          <w:lang w:val="en-US"/>
        </w:rPr>
        <w:t xml:space="preserve"> behavior</w:t>
      </w:r>
      <w:r>
        <w:rPr>
          <w:rFonts w:ascii="Times New Roman" w:hAnsi="Times New Roman"/>
          <w:sz w:val="24"/>
          <w:szCs w:val="24"/>
          <w:lang w:val="en-US"/>
        </w:rPr>
        <w:t xml:space="preserve"> is a priori ambiguous. This is because the informal-sharing mechanism possibly offered by such groups may be either a substitute for, or a complement to, the more formal insurance</w:t>
      </w:r>
      <w:r w:rsidR="00231169">
        <w:rPr>
          <w:rFonts w:ascii="Times New Roman" w:hAnsi="Times New Roman"/>
          <w:sz w:val="24"/>
          <w:szCs w:val="24"/>
          <w:lang w:val="en-US"/>
        </w:rPr>
        <w:t xml:space="preserve"> products provided under the insurance</w:t>
      </w:r>
      <w:r>
        <w:rPr>
          <w:rFonts w:ascii="Times New Roman" w:hAnsi="Times New Roman"/>
          <w:sz w:val="24"/>
          <w:szCs w:val="24"/>
          <w:lang w:val="en-US"/>
        </w:rPr>
        <w:t xml:space="preserve"> program. The complementary effect exists not only if the two schemes supply insurance against different risks, but also if the household wants to diversify its insurance portfolio. On another plane, there is the possibility that the people who have self-selected into self-help groups are also more keen to take their life into their own hands rather </w:t>
      </w:r>
      <w:r>
        <w:rPr>
          <w:rFonts w:ascii="Times New Roman" w:hAnsi="Times New Roman"/>
          <w:sz w:val="24"/>
          <w:szCs w:val="24"/>
          <w:lang w:val="en-US"/>
        </w:rPr>
        <w:lastRenderedPageBreak/>
        <w:t>than passively submitting to their fate. Involvement with these groups can also give them more self-confidence in their ability to deal with external agents and claim their due. Our results show that the complementarity effects dominate the substitution effect.</w:t>
      </w:r>
    </w:p>
    <w:p w:rsidR="002921D2" w:rsidRDefault="002921D2" w:rsidP="002921D2">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The next result concerns the impact of wealth: less wealthy households appear to be more likely to renew their contract although, in the presence of village fixed effects, the impact of wealth seems to vanish or almost vanish. However, if we replace the continuous measure of the asset index by tertile dummies, we find that households belonging to the lowest tertile have a higher probability to renew their contract compared to the other two tertiles. This finding is especially relevant when put into the perspective of an earlier result derived from the selection equation: if the poorest households are less likely to enroll into the insurance program, they are more likely to stay on once they have exp</w:t>
      </w:r>
      <w:r w:rsidR="00932234">
        <w:rPr>
          <w:rFonts w:ascii="Times New Roman" w:hAnsi="Times New Roman"/>
          <w:sz w:val="24"/>
          <w:szCs w:val="24"/>
          <w:lang w:val="en-US"/>
        </w:rPr>
        <w:t>erimented with it.</w:t>
      </w:r>
      <w:r w:rsidR="00CB0A3C">
        <w:rPr>
          <w:rStyle w:val="Appelnotedebasdep"/>
          <w:rFonts w:ascii="Times New Roman" w:hAnsi="Times New Roman"/>
          <w:sz w:val="24"/>
          <w:szCs w:val="24"/>
          <w:lang w:val="en-US"/>
        </w:rPr>
        <w:footnoteReference w:id="31"/>
      </w:r>
      <w:r w:rsidR="00932234">
        <w:rPr>
          <w:rFonts w:ascii="Times New Roman" w:hAnsi="Times New Roman"/>
          <w:sz w:val="24"/>
          <w:szCs w:val="24"/>
          <w:lang w:val="en-US"/>
        </w:rPr>
        <w:t xml:space="preserve"> It may be noted</w:t>
      </w:r>
      <w:r>
        <w:rPr>
          <w:rFonts w:ascii="Times New Roman" w:hAnsi="Times New Roman"/>
          <w:sz w:val="24"/>
          <w:szCs w:val="24"/>
          <w:lang w:val="en-US"/>
        </w:rPr>
        <w:t xml:space="preserve">, moreover, that when the lowest tertile dummy is interacted with our understanding variable (after removing the interaction term between the net payout and </w:t>
      </w:r>
      <w:r>
        <w:rPr>
          <w:rFonts w:ascii="Times New Roman" w:hAnsi="Times New Roman"/>
          <w:i/>
          <w:sz w:val="24"/>
          <w:szCs w:val="24"/>
          <w:lang w:val="en-US"/>
        </w:rPr>
        <w:t>UND_</w:t>
      </w:r>
      <w:r w:rsidRPr="00B661C3">
        <w:rPr>
          <w:rFonts w:ascii="Times New Roman" w:hAnsi="Times New Roman"/>
          <w:sz w:val="24"/>
          <w:szCs w:val="24"/>
          <w:lang w:val="en-US"/>
        </w:rPr>
        <w:t>2</w:t>
      </w:r>
      <w:r>
        <w:rPr>
          <w:rFonts w:ascii="Times New Roman" w:hAnsi="Times New Roman"/>
          <w:sz w:val="24"/>
          <w:szCs w:val="24"/>
          <w:lang w:val="en-US"/>
        </w:rPr>
        <w:t>), the effect does not turn out to be significant. Lastly, w</w:t>
      </w:r>
      <w:r w:rsidRPr="00B661C3">
        <w:rPr>
          <w:rFonts w:ascii="Times New Roman" w:hAnsi="Times New Roman"/>
          <w:sz w:val="24"/>
          <w:szCs w:val="24"/>
          <w:lang w:val="en-US"/>
        </w:rPr>
        <w:t>hen</w:t>
      </w:r>
      <w:r>
        <w:rPr>
          <w:rFonts w:ascii="Times New Roman" w:hAnsi="Times New Roman"/>
          <w:sz w:val="24"/>
          <w:szCs w:val="24"/>
          <w:lang w:val="en-US"/>
        </w:rPr>
        <w:t xml:space="preserve"> we replace the continuous measure of income (which has no significant effect on contract renewal) by the corresponding tertile dummies, no dummy appears with a coefficient statistically different from zero. </w:t>
      </w:r>
    </w:p>
    <w:p w:rsidR="002921D2" w:rsidRDefault="00BC56A6" w:rsidP="008C7C79">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Another clear </w:t>
      </w:r>
      <w:r w:rsidR="00231169">
        <w:rPr>
          <w:rFonts w:ascii="Times New Roman" w:hAnsi="Times New Roman"/>
          <w:sz w:val="24"/>
          <w:szCs w:val="24"/>
          <w:lang w:val="en-US"/>
        </w:rPr>
        <w:t>result that comes out of Table 5</w:t>
      </w:r>
      <w:r>
        <w:rPr>
          <w:rFonts w:ascii="Times New Roman" w:hAnsi="Times New Roman"/>
          <w:sz w:val="24"/>
          <w:szCs w:val="24"/>
          <w:lang w:val="en-US"/>
        </w:rPr>
        <w:t xml:space="preserve"> is the positive influence on contract renewal of the amount of preventive knowledge that a household possesses in matters of health and hygiene. Thus, households exhibiting higher values of the preventive index are more likely not only to enroll into the insurance program but also to renew their contract after one year of experience.</w:t>
      </w:r>
      <w:r w:rsidR="008C7C79">
        <w:rPr>
          <w:rFonts w:ascii="Times New Roman" w:hAnsi="Times New Roman"/>
          <w:sz w:val="24"/>
          <w:szCs w:val="24"/>
          <w:lang w:val="en-US"/>
        </w:rPr>
        <w:t xml:space="preserve"> Such kind of confirmation is not reached, however, when the gender variable is considered. Indeed, while we have learned earlier that female heads are more likely to enroll into the program, they now appear to be less prone to renew the insurance contract. We have no ready explanation for this contrasted result.</w:t>
      </w:r>
    </w:p>
    <w:p w:rsidR="00515C94" w:rsidRPr="007062D0" w:rsidRDefault="00515C94" w:rsidP="00515C94">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A factor whose role is often discussed in the literature on </w:t>
      </w:r>
      <w:r w:rsidR="00974D6A">
        <w:rPr>
          <w:rFonts w:ascii="Times New Roman" w:hAnsi="Times New Roman"/>
          <w:sz w:val="24"/>
          <w:szCs w:val="24"/>
          <w:lang w:val="en-US"/>
        </w:rPr>
        <w:t>microinsurance</w:t>
      </w:r>
      <w:r>
        <w:rPr>
          <w:rFonts w:ascii="Times New Roman" w:hAnsi="Times New Roman"/>
          <w:sz w:val="24"/>
          <w:szCs w:val="24"/>
          <w:lang w:val="en-US"/>
        </w:rPr>
        <w:t xml:space="preserve"> is trust in the insurance company</w:t>
      </w:r>
      <w:r w:rsidR="00187CBF">
        <w:rPr>
          <w:rFonts w:ascii="Times New Roman" w:hAnsi="Times New Roman"/>
          <w:sz w:val="24"/>
          <w:szCs w:val="24"/>
          <w:lang w:val="en-US"/>
        </w:rPr>
        <w:t xml:space="preserve"> (see, e.g., Cai et al., 2009</w:t>
      </w:r>
      <w:r w:rsidR="00C605F3">
        <w:rPr>
          <w:rFonts w:ascii="Times New Roman" w:hAnsi="Times New Roman"/>
          <w:sz w:val="24"/>
          <w:szCs w:val="24"/>
          <w:lang w:val="en-US"/>
        </w:rPr>
        <w:t>; Dercon et al., 2012</w:t>
      </w:r>
      <w:r w:rsidR="00187CBF">
        <w:rPr>
          <w:rFonts w:ascii="Times New Roman" w:hAnsi="Times New Roman"/>
          <w:sz w:val="24"/>
          <w:szCs w:val="24"/>
          <w:lang w:val="en-US"/>
        </w:rPr>
        <w:t>)</w:t>
      </w:r>
      <w:r>
        <w:rPr>
          <w:rFonts w:ascii="Times New Roman" w:hAnsi="Times New Roman"/>
          <w:sz w:val="24"/>
          <w:szCs w:val="24"/>
          <w:lang w:val="en-US"/>
        </w:rPr>
        <w:t xml:space="preserve">. Our measure of trust is </w:t>
      </w:r>
      <w:r>
        <w:rPr>
          <w:rFonts w:ascii="Times New Roman" w:hAnsi="Times New Roman"/>
          <w:sz w:val="24"/>
          <w:szCs w:val="24"/>
          <w:lang w:val="en-US"/>
        </w:rPr>
        <w:lastRenderedPageBreak/>
        <w:t xml:space="preserve">rather crude since it is a simple binary variable (named </w:t>
      </w:r>
      <w:r w:rsidRPr="00164981">
        <w:rPr>
          <w:rFonts w:ascii="Times New Roman" w:hAnsi="Times New Roman"/>
          <w:i/>
          <w:sz w:val="24"/>
          <w:szCs w:val="24"/>
          <w:lang w:val="en-US"/>
        </w:rPr>
        <w:t>trust</w:t>
      </w:r>
      <w:r>
        <w:rPr>
          <w:rFonts w:ascii="Times New Roman" w:hAnsi="Times New Roman"/>
          <w:sz w:val="24"/>
          <w:szCs w:val="24"/>
          <w:lang w:val="en-US"/>
        </w:rPr>
        <w:t xml:space="preserve">) </w:t>
      </w:r>
      <w:r w:rsidRPr="00164981">
        <w:rPr>
          <w:rFonts w:ascii="Times New Roman" w:hAnsi="Times New Roman"/>
          <w:sz w:val="24"/>
          <w:szCs w:val="24"/>
          <w:lang w:val="en-US"/>
        </w:rPr>
        <w:t>equal</w:t>
      </w:r>
      <w:r>
        <w:rPr>
          <w:rFonts w:ascii="Times New Roman" w:hAnsi="Times New Roman"/>
          <w:sz w:val="24"/>
          <w:szCs w:val="24"/>
          <w:lang w:val="en-US"/>
        </w:rPr>
        <w:t xml:space="preserve"> to one when the household has answered positively to the following question: “Do you fully trust t</w:t>
      </w:r>
      <w:r w:rsidR="00D22BA9">
        <w:rPr>
          <w:rFonts w:ascii="Times New Roman" w:hAnsi="Times New Roman"/>
          <w:sz w:val="24"/>
          <w:szCs w:val="24"/>
          <w:lang w:val="en-US"/>
        </w:rPr>
        <w:t>he Arogya Sandhi program”? Nonetheless</w:t>
      </w:r>
      <w:r>
        <w:rPr>
          <w:rFonts w:ascii="Times New Roman" w:hAnsi="Times New Roman"/>
          <w:sz w:val="24"/>
          <w:szCs w:val="24"/>
          <w:lang w:val="en-US"/>
        </w:rPr>
        <w:t>, whenever this variable is added to our list of regressors, it always comes out with a positive and significant coefficient, as expected</w:t>
      </w:r>
      <w:r w:rsidR="00592180">
        <w:rPr>
          <w:rFonts w:ascii="Times New Roman" w:hAnsi="Times New Roman"/>
          <w:sz w:val="24"/>
          <w:szCs w:val="24"/>
          <w:lang w:val="en-US"/>
        </w:rPr>
        <w:t xml:space="preserve"> (results not shown)</w:t>
      </w:r>
      <w:r>
        <w:rPr>
          <w:rFonts w:ascii="Times New Roman" w:hAnsi="Times New Roman"/>
          <w:sz w:val="24"/>
          <w:szCs w:val="24"/>
          <w:lang w:val="en-US"/>
        </w:rPr>
        <w:t xml:space="preserve">. The only qualification is that both the size and the statistical significance of this coefficient are reduced when village fixed effects are added, suggesting that trust tends to spread locally. Equally noticeable is the observed decrease in the size of the coefficient of </w:t>
      </w:r>
      <w:r w:rsidRPr="0036641A">
        <w:rPr>
          <w:rFonts w:ascii="Times New Roman" w:hAnsi="Times New Roman"/>
          <w:i/>
          <w:sz w:val="24"/>
          <w:szCs w:val="24"/>
          <w:lang w:val="en-US"/>
        </w:rPr>
        <w:t>UND_2</w:t>
      </w:r>
      <w:r>
        <w:rPr>
          <w:rFonts w:ascii="Times New Roman" w:hAnsi="Times New Roman"/>
          <w:sz w:val="24"/>
          <w:szCs w:val="24"/>
          <w:lang w:val="en-US"/>
        </w:rPr>
        <w:t xml:space="preserve"> when </w:t>
      </w:r>
      <w:r>
        <w:rPr>
          <w:rFonts w:ascii="Times New Roman" w:hAnsi="Times New Roman"/>
          <w:i/>
          <w:sz w:val="24"/>
          <w:szCs w:val="24"/>
          <w:lang w:val="en-US"/>
        </w:rPr>
        <w:t xml:space="preserve">trust </w:t>
      </w:r>
      <w:r>
        <w:rPr>
          <w:rFonts w:ascii="Times New Roman" w:hAnsi="Times New Roman"/>
          <w:sz w:val="24"/>
          <w:szCs w:val="24"/>
          <w:lang w:val="en-US"/>
        </w:rPr>
        <w:t>is present. This reflects the significant correlation between the two variables: while more than 57% of household heads with a good understanding of insurance (</w:t>
      </w:r>
      <w:r>
        <w:rPr>
          <w:rFonts w:ascii="Times New Roman" w:hAnsi="Times New Roman"/>
          <w:i/>
          <w:sz w:val="24"/>
          <w:szCs w:val="24"/>
          <w:lang w:val="en-US"/>
        </w:rPr>
        <w:t>UND_2</w:t>
      </w:r>
      <w:r>
        <w:rPr>
          <w:rFonts w:ascii="Times New Roman" w:hAnsi="Times New Roman"/>
          <w:sz w:val="24"/>
          <w:szCs w:val="24"/>
          <w:lang w:val="en-US"/>
        </w:rPr>
        <w:t>=1) confessed complete trust in the program, the proportion falls to barely 22% for those with a poor understanding. The effect of trust is therefore partly confounded with the effect of understanding, a finding that deserves to be carefully pondered by policy makers. It indeed means that an effective way to enhance trust among potential clients consists of improving their grasp of the very concept of insurance.</w:t>
      </w:r>
      <w:r>
        <w:rPr>
          <w:rStyle w:val="Appelnotedebasdep"/>
          <w:rFonts w:ascii="Times New Roman" w:hAnsi="Times New Roman"/>
          <w:sz w:val="24"/>
          <w:szCs w:val="24"/>
          <w:lang w:val="en-US"/>
        </w:rPr>
        <w:footnoteReference w:id="32"/>
      </w:r>
    </w:p>
    <w:p w:rsidR="00D20C45" w:rsidRDefault="00D20C45" w:rsidP="00D20C45">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To complete our review of the results emerging from Table 5, attention must finally be paid to the role of literacy and formal education. The effects are surprisingly contrasted. More precisely, if being literate increases the propensity to renew the contract, the effect of schooling measured continuously is non-monotonous: it is negative in the first years and becomes positive once a sufficient level of education (computed to be as high as nine years) has been achieved.</w:t>
      </w:r>
      <w:r>
        <w:rPr>
          <w:rStyle w:val="Appelnotedebasdep"/>
          <w:rFonts w:ascii="Times New Roman" w:hAnsi="Times New Roman"/>
          <w:sz w:val="24"/>
          <w:szCs w:val="24"/>
          <w:lang w:val="en-US"/>
        </w:rPr>
        <w:footnoteReference w:id="33"/>
      </w:r>
      <w:r>
        <w:rPr>
          <w:rFonts w:ascii="Times New Roman" w:hAnsi="Times New Roman"/>
          <w:sz w:val="24"/>
          <w:szCs w:val="24"/>
          <w:lang w:val="en-US"/>
        </w:rPr>
        <w:t xml:space="preserve"> Bearing in mind that we control for the level of understanding of insurance, these results point to the existence of a different channel through which learning influences contract renewal decisions. And this channel must operate in such a way that learning encourages (or discourages) contract renewal but not insurance subscription (since we know from the selection equation that the latter effect does not exist). On the other hand, the opposite effects of literacy and formal schooling make sense only because</w:t>
      </w:r>
      <w:r w:rsidRPr="00112C62">
        <w:rPr>
          <w:rFonts w:ascii="Times New Roman" w:hAnsi="Times New Roman"/>
          <w:sz w:val="24"/>
          <w:szCs w:val="24"/>
          <w:lang w:val="en-US"/>
        </w:rPr>
        <w:t xml:space="preserve"> </w:t>
      </w:r>
      <w:r>
        <w:rPr>
          <w:rFonts w:ascii="Times New Roman" w:hAnsi="Times New Roman"/>
          <w:sz w:val="24"/>
          <w:szCs w:val="24"/>
          <w:lang w:val="en-US"/>
        </w:rPr>
        <w:t xml:space="preserve">the two variables are imperfectly correlated: schooling does not necessarily imply literacy ‒people </w:t>
      </w:r>
      <w:r>
        <w:rPr>
          <w:rFonts w:ascii="Times New Roman" w:hAnsi="Times New Roman"/>
          <w:sz w:val="24"/>
          <w:szCs w:val="24"/>
          <w:lang w:val="en-US"/>
        </w:rPr>
        <w:lastRenderedPageBreak/>
        <w:t>who did attend school sometimes confessed to be illiterate‒ and, less surprisingly, people who did not go to school sometimes stated an ability to read and write.</w:t>
      </w:r>
      <w:r>
        <w:rPr>
          <w:rStyle w:val="Appelnotedebasdep"/>
          <w:rFonts w:ascii="Times New Roman" w:hAnsi="Times New Roman"/>
          <w:sz w:val="24"/>
          <w:szCs w:val="24"/>
          <w:lang w:val="en-US"/>
        </w:rPr>
        <w:footnoteReference w:id="34"/>
      </w:r>
      <w:r>
        <w:rPr>
          <w:rFonts w:ascii="Times New Roman" w:hAnsi="Times New Roman"/>
          <w:sz w:val="24"/>
          <w:szCs w:val="24"/>
          <w:lang w:val="en-US"/>
        </w:rPr>
        <w:t xml:space="preserve"> </w:t>
      </w:r>
    </w:p>
    <w:p w:rsidR="00B71B3E" w:rsidRPr="002B17FC" w:rsidRDefault="00231169" w:rsidP="00D22BA9">
      <w:pPr>
        <w:tabs>
          <w:tab w:val="left" w:pos="7736"/>
        </w:tabs>
        <w:spacing w:after="240" w:line="360" w:lineRule="auto"/>
        <w:ind w:firstLine="426"/>
        <w:jc w:val="center"/>
        <w:rPr>
          <w:rFonts w:ascii="Times New Roman" w:hAnsi="Times New Roman"/>
          <w:sz w:val="24"/>
          <w:szCs w:val="24"/>
          <w:lang w:val="en-US"/>
        </w:rPr>
      </w:pPr>
      <w:r>
        <w:rPr>
          <w:rFonts w:ascii="Times New Roman" w:hAnsi="Times New Roman"/>
          <w:i/>
          <w:sz w:val="24"/>
          <w:szCs w:val="24"/>
          <w:lang w:val="en-US"/>
        </w:rPr>
        <w:t>Table 5</w:t>
      </w:r>
      <w:r w:rsidR="00B71B3E" w:rsidRPr="00AF1820">
        <w:rPr>
          <w:rFonts w:ascii="Times New Roman" w:hAnsi="Times New Roman"/>
          <w:i/>
          <w:sz w:val="24"/>
          <w:szCs w:val="24"/>
          <w:lang w:val="en-US"/>
        </w:rPr>
        <w:t>: Determinants of contract renewal</w:t>
      </w:r>
    </w:p>
    <w:p w:rsidR="00B71B3E" w:rsidRDefault="00D249A0" w:rsidP="00B71B3E">
      <w:pPr>
        <w:keepNext/>
        <w:keepLines/>
        <w:spacing w:after="240" w:line="360" w:lineRule="auto"/>
        <w:jc w:val="both"/>
        <w:rPr>
          <w:rFonts w:ascii="Times New Roman" w:hAnsi="Times New Roman"/>
          <w:sz w:val="24"/>
          <w:szCs w:val="24"/>
          <w:lang w:val="en-US"/>
        </w:rPr>
      </w:pPr>
      <w:bookmarkStart w:id="2" w:name="_MON_1426485196"/>
      <w:bookmarkEnd w:id="2"/>
      <w:r>
        <w:pict>
          <v:shape id="_x0000_i1041" type="#_x0000_t75" style="width:447.05pt;height:474.35pt">
            <v:imagedata r:id="rId29" o:title=""/>
          </v:shape>
        </w:pict>
      </w:r>
    </w:p>
    <w:p w:rsidR="00BC51CC" w:rsidRDefault="00BC51CC" w:rsidP="00C52C8A">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How can we account for the paradoxical finding that formal education, well into the secondary school, tends to discourage contract renewal all else being equal (including the level of understanding)? The most pl</w:t>
      </w:r>
      <w:r w:rsidR="00C75BFD">
        <w:rPr>
          <w:rFonts w:ascii="Times New Roman" w:hAnsi="Times New Roman"/>
          <w:sz w:val="24"/>
          <w:szCs w:val="24"/>
          <w:lang w:val="en-US"/>
        </w:rPr>
        <w:t xml:space="preserve">ausible explanation is based on the field observation that </w:t>
      </w:r>
      <w:r w:rsidR="00216C59">
        <w:rPr>
          <w:rFonts w:ascii="Times New Roman" w:hAnsi="Times New Roman"/>
          <w:sz w:val="24"/>
          <w:szCs w:val="24"/>
          <w:lang w:val="en-US"/>
        </w:rPr>
        <w:lastRenderedPageBreak/>
        <w:t>information deficiencies gave rise to</w:t>
      </w:r>
      <w:r w:rsidR="00C75BFD">
        <w:rPr>
          <w:rFonts w:ascii="Times New Roman" w:hAnsi="Times New Roman"/>
          <w:sz w:val="24"/>
          <w:szCs w:val="24"/>
          <w:lang w:val="en-US"/>
        </w:rPr>
        <w:t xml:space="preserve"> a climate of frustration and even anger in the treatment villages. </w:t>
      </w:r>
      <w:r w:rsidR="00216C59">
        <w:rPr>
          <w:rFonts w:ascii="Times New Roman" w:hAnsi="Times New Roman"/>
          <w:sz w:val="24"/>
          <w:szCs w:val="24"/>
          <w:lang w:val="en-US"/>
        </w:rPr>
        <w:t xml:space="preserve">To the extent that </w:t>
      </w:r>
      <w:r w:rsidR="00C9740B">
        <w:rPr>
          <w:rFonts w:ascii="Times New Roman" w:hAnsi="Times New Roman"/>
          <w:sz w:val="24"/>
          <w:szCs w:val="24"/>
          <w:lang w:val="en-US"/>
        </w:rPr>
        <w:t>schooling imparts habits of criticism and abilities</w:t>
      </w:r>
      <w:r w:rsidR="00122734">
        <w:rPr>
          <w:rFonts w:ascii="Times New Roman" w:hAnsi="Times New Roman"/>
          <w:sz w:val="24"/>
          <w:szCs w:val="24"/>
          <w:lang w:val="en-US"/>
        </w:rPr>
        <w:t xml:space="preserve"> </w:t>
      </w:r>
      <w:r w:rsidR="00C9740B">
        <w:rPr>
          <w:rFonts w:ascii="Times New Roman" w:hAnsi="Times New Roman"/>
          <w:sz w:val="24"/>
          <w:szCs w:val="24"/>
          <w:lang w:val="en-US"/>
        </w:rPr>
        <w:t xml:space="preserve">to articulate opinions and express grievances, </w:t>
      </w:r>
      <w:r w:rsidR="00122734">
        <w:rPr>
          <w:rFonts w:ascii="Times New Roman" w:hAnsi="Times New Roman"/>
          <w:sz w:val="24"/>
          <w:szCs w:val="24"/>
          <w:lang w:val="en-US"/>
        </w:rPr>
        <w:t>we expect educated</w:t>
      </w:r>
      <w:r w:rsidR="00C9740B">
        <w:rPr>
          <w:rFonts w:ascii="Times New Roman" w:hAnsi="Times New Roman"/>
          <w:sz w:val="24"/>
          <w:szCs w:val="24"/>
          <w:lang w:val="en-US"/>
        </w:rPr>
        <w:t xml:space="preserve"> subscribers to be especially disgruntled about the lack of </w:t>
      </w:r>
      <w:r w:rsidR="00C52C8A">
        <w:rPr>
          <w:rFonts w:ascii="Times New Roman" w:hAnsi="Times New Roman"/>
          <w:sz w:val="24"/>
          <w:szCs w:val="24"/>
          <w:lang w:val="en-US"/>
        </w:rPr>
        <w:t>information and</w:t>
      </w:r>
      <w:r w:rsidR="00C9740B">
        <w:rPr>
          <w:rFonts w:ascii="Times New Roman" w:hAnsi="Times New Roman"/>
          <w:sz w:val="24"/>
          <w:szCs w:val="24"/>
          <w:lang w:val="en-US"/>
        </w:rPr>
        <w:t xml:space="preserve"> ready to react aggressively against the organization in charge.</w:t>
      </w:r>
      <w:r w:rsidR="00C52C8A">
        <w:rPr>
          <w:rFonts w:ascii="Times New Roman" w:hAnsi="Times New Roman"/>
          <w:sz w:val="24"/>
          <w:szCs w:val="24"/>
          <w:lang w:val="en-US"/>
        </w:rPr>
        <w:t xml:space="preserve"> </w:t>
      </w:r>
      <w:r w:rsidR="00C9740B">
        <w:rPr>
          <w:rFonts w:ascii="Times New Roman" w:hAnsi="Times New Roman"/>
          <w:sz w:val="24"/>
          <w:szCs w:val="24"/>
          <w:lang w:val="en-US"/>
        </w:rPr>
        <w:t xml:space="preserve">It is, </w:t>
      </w:r>
      <w:r w:rsidR="00C52C8A">
        <w:rPr>
          <w:rFonts w:ascii="Times New Roman" w:hAnsi="Times New Roman"/>
          <w:sz w:val="24"/>
          <w:szCs w:val="24"/>
          <w:lang w:val="en-US"/>
        </w:rPr>
        <w:t xml:space="preserve">therefore, </w:t>
      </w:r>
      <w:r w:rsidR="00C9740B">
        <w:rPr>
          <w:rFonts w:ascii="Times New Roman" w:hAnsi="Times New Roman"/>
          <w:sz w:val="24"/>
          <w:szCs w:val="24"/>
          <w:lang w:val="en-US"/>
        </w:rPr>
        <w:t xml:space="preserve">not surprising that they are also </w:t>
      </w:r>
      <w:r w:rsidR="00F97897">
        <w:rPr>
          <w:rFonts w:ascii="Times New Roman" w:hAnsi="Times New Roman"/>
          <w:sz w:val="24"/>
          <w:szCs w:val="24"/>
          <w:lang w:val="en-US"/>
        </w:rPr>
        <w:t>more</w:t>
      </w:r>
      <w:r w:rsidR="001B04BC">
        <w:rPr>
          <w:rFonts w:ascii="Times New Roman" w:hAnsi="Times New Roman"/>
          <w:sz w:val="24"/>
          <w:szCs w:val="24"/>
          <w:lang w:val="en-US"/>
        </w:rPr>
        <w:t xml:space="preserve"> </w:t>
      </w:r>
      <w:r w:rsidR="00F97897">
        <w:rPr>
          <w:rFonts w:ascii="Times New Roman" w:hAnsi="Times New Roman"/>
          <w:sz w:val="24"/>
          <w:szCs w:val="24"/>
          <w:lang w:val="en-US"/>
        </w:rPr>
        <w:t>loth to renew</w:t>
      </w:r>
      <w:r w:rsidR="001B04BC">
        <w:rPr>
          <w:rFonts w:ascii="Times New Roman" w:hAnsi="Times New Roman"/>
          <w:sz w:val="24"/>
          <w:szCs w:val="24"/>
          <w:lang w:val="en-US"/>
        </w:rPr>
        <w:t xml:space="preserve"> their insurance contract</w:t>
      </w:r>
      <w:r w:rsidR="00F97897">
        <w:rPr>
          <w:rFonts w:ascii="Times New Roman" w:hAnsi="Times New Roman"/>
          <w:sz w:val="24"/>
          <w:szCs w:val="24"/>
          <w:lang w:val="en-US"/>
        </w:rPr>
        <w:t xml:space="preserve"> than other subscribers</w:t>
      </w:r>
      <w:r w:rsidR="001B04BC">
        <w:rPr>
          <w:rFonts w:ascii="Times New Roman" w:hAnsi="Times New Roman"/>
          <w:sz w:val="24"/>
          <w:szCs w:val="24"/>
          <w:lang w:val="en-US"/>
        </w:rPr>
        <w:t>.</w:t>
      </w:r>
      <w:r w:rsidR="00132B3B">
        <w:rPr>
          <w:rFonts w:ascii="Times New Roman" w:hAnsi="Times New Roman"/>
          <w:sz w:val="24"/>
          <w:szCs w:val="24"/>
          <w:lang w:val="en-US"/>
        </w:rPr>
        <w:t xml:space="preserve"> B</w:t>
      </w:r>
      <w:r w:rsidR="00B2230F">
        <w:rPr>
          <w:rFonts w:ascii="Times New Roman" w:hAnsi="Times New Roman"/>
          <w:sz w:val="24"/>
          <w:szCs w:val="24"/>
          <w:lang w:val="en-US"/>
        </w:rPr>
        <w:t>eyond a</w:t>
      </w:r>
      <w:r w:rsidR="00132B3B">
        <w:rPr>
          <w:rFonts w:ascii="Times New Roman" w:hAnsi="Times New Roman"/>
          <w:sz w:val="24"/>
          <w:szCs w:val="24"/>
          <w:lang w:val="en-US"/>
        </w:rPr>
        <w:t xml:space="preserve"> critical level of schooling, however,</w:t>
      </w:r>
      <w:r w:rsidR="00B2230F">
        <w:rPr>
          <w:rFonts w:ascii="Times New Roman" w:hAnsi="Times New Roman"/>
          <w:sz w:val="24"/>
          <w:szCs w:val="24"/>
          <w:lang w:val="en-US"/>
        </w:rPr>
        <w:t xml:space="preserve"> this “assertion effect” is dominated</w:t>
      </w:r>
      <w:r w:rsidR="00132B3B">
        <w:rPr>
          <w:rFonts w:ascii="Times New Roman" w:hAnsi="Times New Roman"/>
          <w:sz w:val="24"/>
          <w:szCs w:val="24"/>
          <w:lang w:val="en-US"/>
        </w:rPr>
        <w:t xml:space="preserve"> </w:t>
      </w:r>
      <w:r w:rsidR="00B2230F">
        <w:rPr>
          <w:rFonts w:ascii="Times New Roman" w:hAnsi="Times New Roman"/>
          <w:sz w:val="24"/>
          <w:szCs w:val="24"/>
          <w:lang w:val="en-US"/>
        </w:rPr>
        <w:t>by another</w:t>
      </w:r>
      <w:r w:rsidR="00C52C8A">
        <w:rPr>
          <w:rFonts w:ascii="Times New Roman" w:hAnsi="Times New Roman"/>
          <w:sz w:val="24"/>
          <w:szCs w:val="24"/>
          <w:lang w:val="en-US"/>
        </w:rPr>
        <w:t xml:space="preserve"> counteracting</w:t>
      </w:r>
      <w:r w:rsidR="00B2230F">
        <w:rPr>
          <w:rFonts w:ascii="Times New Roman" w:hAnsi="Times New Roman"/>
          <w:sz w:val="24"/>
          <w:szCs w:val="24"/>
          <w:lang w:val="en-US"/>
        </w:rPr>
        <w:t xml:space="preserve"> effect, perhaps identical to that </w:t>
      </w:r>
      <w:r w:rsidR="00D22BA9">
        <w:rPr>
          <w:rFonts w:ascii="Times New Roman" w:hAnsi="Times New Roman"/>
          <w:sz w:val="24"/>
          <w:szCs w:val="24"/>
          <w:lang w:val="en-US"/>
        </w:rPr>
        <w:t>underlying the role of literacy:</w:t>
      </w:r>
      <w:r w:rsidR="00B2230F">
        <w:rPr>
          <w:rFonts w:ascii="Times New Roman" w:hAnsi="Times New Roman"/>
          <w:sz w:val="24"/>
          <w:szCs w:val="24"/>
          <w:lang w:val="en-US"/>
        </w:rPr>
        <w:t xml:space="preserve"> learning stimulates contract renewal whether insurance </w:t>
      </w:r>
      <w:r w:rsidR="00052213">
        <w:rPr>
          <w:rFonts w:ascii="Times New Roman" w:hAnsi="Times New Roman"/>
          <w:sz w:val="24"/>
          <w:szCs w:val="24"/>
          <w:lang w:val="en-US"/>
        </w:rPr>
        <w:t>is adequately understood</w:t>
      </w:r>
      <w:r w:rsidR="00676E24">
        <w:rPr>
          <w:rFonts w:ascii="Times New Roman" w:hAnsi="Times New Roman"/>
          <w:sz w:val="24"/>
          <w:szCs w:val="24"/>
          <w:lang w:val="en-US"/>
        </w:rPr>
        <w:t xml:space="preserve"> or not, say because the transaction cost of renewing the contract is smaller for l</w:t>
      </w:r>
      <w:r w:rsidR="00D22BA9">
        <w:rPr>
          <w:rFonts w:ascii="Times New Roman" w:hAnsi="Times New Roman"/>
          <w:sz w:val="24"/>
          <w:szCs w:val="24"/>
          <w:lang w:val="en-US"/>
        </w:rPr>
        <w:t>iterate people</w:t>
      </w:r>
      <w:r w:rsidR="001C0304">
        <w:rPr>
          <w:rFonts w:ascii="Times New Roman" w:hAnsi="Times New Roman"/>
          <w:sz w:val="24"/>
          <w:szCs w:val="24"/>
          <w:lang w:val="en-US"/>
        </w:rPr>
        <w:t>.</w:t>
      </w:r>
    </w:p>
    <w:p w:rsidR="00B71B3E" w:rsidRDefault="00052213" w:rsidP="001F6AC6">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If the above story about frustration being higher among more educated people (up to a certain level) is true, it should </w:t>
      </w:r>
      <w:r w:rsidR="00CB66D0">
        <w:rPr>
          <w:rFonts w:ascii="Times New Roman" w:hAnsi="Times New Roman"/>
          <w:sz w:val="24"/>
          <w:szCs w:val="24"/>
          <w:lang w:val="en-US"/>
        </w:rPr>
        <w:t>show up in</w:t>
      </w:r>
      <w:r>
        <w:rPr>
          <w:rFonts w:ascii="Times New Roman" w:hAnsi="Times New Roman"/>
          <w:sz w:val="24"/>
          <w:szCs w:val="24"/>
          <w:lang w:val="en-US"/>
        </w:rPr>
        <w:t xml:space="preserve"> our last set of estimations aimed at explaining satisfactio</w:t>
      </w:r>
      <w:r w:rsidR="00231169">
        <w:rPr>
          <w:rFonts w:ascii="Times New Roman" w:hAnsi="Times New Roman"/>
          <w:sz w:val="24"/>
          <w:szCs w:val="24"/>
          <w:lang w:val="en-US"/>
        </w:rPr>
        <w:t>n about the</w:t>
      </w:r>
      <w:r w:rsidR="00E906F8">
        <w:rPr>
          <w:rFonts w:ascii="Times New Roman" w:hAnsi="Times New Roman"/>
          <w:sz w:val="24"/>
          <w:szCs w:val="24"/>
          <w:lang w:val="en-US"/>
        </w:rPr>
        <w:t xml:space="preserve"> program (see</w:t>
      </w:r>
      <w:r w:rsidR="001F6AC6">
        <w:rPr>
          <w:rFonts w:ascii="Times New Roman" w:hAnsi="Times New Roman"/>
          <w:sz w:val="24"/>
          <w:szCs w:val="24"/>
          <w:lang w:val="en-US"/>
        </w:rPr>
        <w:t xml:space="preserve"> the table in</w:t>
      </w:r>
      <w:r w:rsidR="00E906F8">
        <w:rPr>
          <w:rFonts w:ascii="Times New Roman" w:hAnsi="Times New Roman"/>
          <w:sz w:val="24"/>
          <w:szCs w:val="24"/>
          <w:lang w:val="en-US"/>
        </w:rPr>
        <w:t xml:space="preserve"> Appendix D</w:t>
      </w:r>
      <w:r>
        <w:rPr>
          <w:rFonts w:ascii="Times New Roman" w:hAnsi="Times New Roman"/>
          <w:sz w:val="24"/>
          <w:szCs w:val="24"/>
          <w:lang w:val="en-US"/>
        </w:rPr>
        <w:t xml:space="preserve">). </w:t>
      </w:r>
      <w:r w:rsidR="0080179C">
        <w:rPr>
          <w:rFonts w:ascii="Times New Roman" w:hAnsi="Times New Roman"/>
          <w:sz w:val="24"/>
          <w:szCs w:val="24"/>
          <w:lang w:val="en-US"/>
        </w:rPr>
        <w:t xml:space="preserve">What we see is that the effects of </w:t>
      </w:r>
      <w:r w:rsidR="0080179C">
        <w:rPr>
          <w:rFonts w:ascii="Times New Roman" w:hAnsi="Times New Roman"/>
          <w:i/>
          <w:sz w:val="24"/>
          <w:szCs w:val="24"/>
          <w:lang w:val="en-US"/>
        </w:rPr>
        <w:t xml:space="preserve">schooling </w:t>
      </w:r>
      <w:r w:rsidR="0080179C">
        <w:rPr>
          <w:rFonts w:ascii="Times New Roman" w:hAnsi="Times New Roman"/>
          <w:sz w:val="24"/>
          <w:szCs w:val="24"/>
          <w:lang w:val="en-US"/>
        </w:rPr>
        <w:t xml:space="preserve">and </w:t>
      </w:r>
      <w:r w:rsidR="0080179C">
        <w:rPr>
          <w:rFonts w:ascii="Times New Roman" w:hAnsi="Times New Roman"/>
          <w:i/>
          <w:sz w:val="24"/>
          <w:szCs w:val="24"/>
          <w:lang w:val="en-US"/>
        </w:rPr>
        <w:t xml:space="preserve">schooling2 </w:t>
      </w:r>
      <w:r w:rsidR="0080179C">
        <w:rPr>
          <w:rFonts w:ascii="Times New Roman" w:hAnsi="Times New Roman"/>
          <w:sz w:val="24"/>
          <w:szCs w:val="24"/>
          <w:lang w:val="en-US"/>
        </w:rPr>
        <w:t>are no</w:t>
      </w:r>
      <w:r w:rsidR="00D22BA9">
        <w:rPr>
          <w:rFonts w:ascii="Times New Roman" w:hAnsi="Times New Roman"/>
          <w:sz w:val="24"/>
          <w:szCs w:val="24"/>
          <w:lang w:val="en-US"/>
        </w:rPr>
        <w:t xml:space="preserve"> more statistically significant yet</w:t>
      </w:r>
      <w:r w:rsidR="003A13CC">
        <w:rPr>
          <w:rFonts w:ascii="Times New Roman" w:hAnsi="Times New Roman"/>
          <w:sz w:val="24"/>
          <w:szCs w:val="24"/>
          <w:lang w:val="en-US"/>
        </w:rPr>
        <w:t xml:space="preserve">, if we drop the square term, the coefficient of </w:t>
      </w:r>
      <w:r w:rsidR="003A13CC">
        <w:rPr>
          <w:rFonts w:ascii="Times New Roman" w:hAnsi="Times New Roman"/>
          <w:i/>
          <w:sz w:val="24"/>
          <w:szCs w:val="24"/>
          <w:lang w:val="en-US"/>
        </w:rPr>
        <w:t xml:space="preserve">schooling </w:t>
      </w:r>
      <w:r w:rsidR="003A13CC">
        <w:rPr>
          <w:rFonts w:ascii="Times New Roman" w:hAnsi="Times New Roman"/>
          <w:sz w:val="24"/>
          <w:szCs w:val="24"/>
          <w:lang w:val="en-US"/>
        </w:rPr>
        <w:t xml:space="preserve">is negative and almost significant (at the 90% confidence level) while the coefficient of </w:t>
      </w:r>
      <w:r w:rsidR="003A13CC">
        <w:rPr>
          <w:rFonts w:ascii="Times New Roman" w:hAnsi="Times New Roman"/>
          <w:i/>
          <w:sz w:val="24"/>
          <w:szCs w:val="24"/>
          <w:lang w:val="en-US"/>
        </w:rPr>
        <w:t xml:space="preserve">literacy </w:t>
      </w:r>
      <w:r w:rsidR="003A13CC">
        <w:rPr>
          <w:rFonts w:ascii="Times New Roman" w:hAnsi="Times New Roman"/>
          <w:sz w:val="24"/>
          <w:szCs w:val="24"/>
          <w:lang w:val="en-US"/>
        </w:rPr>
        <w:t xml:space="preserve">remains positive and strongly significant (results not shown). </w:t>
      </w:r>
      <w:r w:rsidR="00CB66D0">
        <w:rPr>
          <w:rFonts w:ascii="Times New Roman" w:hAnsi="Times New Roman"/>
          <w:sz w:val="24"/>
          <w:szCs w:val="24"/>
          <w:lang w:val="en-US"/>
        </w:rPr>
        <w:t>In other words, being more formally educated has the effect of raising the probability of being dissatisfied</w:t>
      </w:r>
      <w:r w:rsidR="00C64C3B">
        <w:rPr>
          <w:rFonts w:ascii="Times New Roman" w:hAnsi="Times New Roman"/>
          <w:sz w:val="24"/>
          <w:szCs w:val="24"/>
          <w:lang w:val="en-US"/>
        </w:rPr>
        <w:t xml:space="preserve"> with the insurance program.</w:t>
      </w:r>
      <w:r w:rsidR="003A13CC">
        <w:rPr>
          <w:rFonts w:ascii="Times New Roman" w:hAnsi="Times New Roman"/>
          <w:sz w:val="24"/>
          <w:szCs w:val="24"/>
          <w:lang w:val="en-US"/>
        </w:rPr>
        <w:t xml:space="preserve"> </w:t>
      </w:r>
      <w:r w:rsidR="00231169">
        <w:rPr>
          <w:rFonts w:ascii="Times New Roman" w:hAnsi="Times New Roman"/>
          <w:sz w:val="24"/>
          <w:szCs w:val="24"/>
          <w:lang w:val="en-US"/>
        </w:rPr>
        <w:t>Inspection of</w:t>
      </w:r>
      <w:r w:rsidR="00E906F8">
        <w:rPr>
          <w:rFonts w:ascii="Times New Roman" w:hAnsi="Times New Roman"/>
          <w:sz w:val="24"/>
          <w:szCs w:val="24"/>
          <w:lang w:val="en-US"/>
        </w:rPr>
        <w:t xml:space="preserve"> the same table</w:t>
      </w:r>
      <w:r w:rsidR="00BE2C38">
        <w:rPr>
          <w:rFonts w:ascii="Times New Roman" w:hAnsi="Times New Roman"/>
          <w:sz w:val="24"/>
          <w:szCs w:val="24"/>
          <w:lang w:val="en-US"/>
        </w:rPr>
        <w:t xml:space="preserve"> </w:t>
      </w:r>
      <w:r w:rsidR="00C64C3B">
        <w:rPr>
          <w:rFonts w:ascii="Times New Roman" w:hAnsi="Times New Roman"/>
          <w:sz w:val="24"/>
          <w:szCs w:val="24"/>
          <w:lang w:val="en-US"/>
        </w:rPr>
        <w:t>also reveals that, as expected,</w:t>
      </w:r>
      <w:r w:rsidR="00BE2C38">
        <w:rPr>
          <w:rFonts w:ascii="Times New Roman" w:hAnsi="Times New Roman"/>
          <w:sz w:val="24"/>
          <w:szCs w:val="24"/>
          <w:lang w:val="en-US"/>
        </w:rPr>
        <w:t xml:space="preserve"> the effects of information a</w:t>
      </w:r>
      <w:r w:rsidR="00C64C3B">
        <w:rPr>
          <w:rFonts w:ascii="Times New Roman" w:hAnsi="Times New Roman"/>
          <w:sz w:val="24"/>
          <w:szCs w:val="24"/>
          <w:lang w:val="en-US"/>
        </w:rPr>
        <w:t>nd understanding are positive and highly significant</w:t>
      </w:r>
      <w:r w:rsidR="00BE2C38">
        <w:rPr>
          <w:rFonts w:ascii="Times New Roman" w:hAnsi="Times New Roman"/>
          <w:sz w:val="24"/>
          <w:szCs w:val="24"/>
          <w:lang w:val="en-US"/>
        </w:rPr>
        <w:t xml:space="preserve">. </w:t>
      </w:r>
      <w:r w:rsidR="00C64C3B">
        <w:rPr>
          <w:rFonts w:ascii="Times New Roman" w:hAnsi="Times New Roman"/>
          <w:sz w:val="24"/>
          <w:szCs w:val="24"/>
          <w:lang w:val="en-US"/>
        </w:rPr>
        <w:t>In addition,</w:t>
      </w:r>
      <w:r w:rsidR="00BE2C38">
        <w:rPr>
          <w:rFonts w:ascii="Times New Roman" w:hAnsi="Times New Roman"/>
          <w:sz w:val="24"/>
          <w:szCs w:val="24"/>
          <w:lang w:val="en-US"/>
        </w:rPr>
        <w:t xml:space="preserve"> househ</w:t>
      </w:r>
      <w:r w:rsidR="00C64C3B">
        <w:rPr>
          <w:rFonts w:ascii="Times New Roman" w:hAnsi="Times New Roman"/>
          <w:sz w:val="24"/>
          <w:szCs w:val="24"/>
          <w:lang w:val="en-US"/>
        </w:rPr>
        <w:t>olds which participated to a self-help group</w:t>
      </w:r>
      <w:r w:rsidR="00BE2C38">
        <w:rPr>
          <w:rFonts w:ascii="Times New Roman" w:hAnsi="Times New Roman"/>
          <w:sz w:val="24"/>
          <w:szCs w:val="24"/>
          <w:lang w:val="en-US"/>
        </w:rPr>
        <w:t xml:space="preserve"> prior to the start of the program are</w:t>
      </w:r>
      <w:r w:rsidR="00C64C3B">
        <w:rPr>
          <w:rFonts w:ascii="Times New Roman" w:hAnsi="Times New Roman"/>
          <w:sz w:val="24"/>
          <w:szCs w:val="24"/>
          <w:lang w:val="en-US"/>
        </w:rPr>
        <w:t xml:space="preserve"> more likely to be satisfied</w:t>
      </w:r>
      <w:r w:rsidR="00E906F8">
        <w:rPr>
          <w:rFonts w:ascii="Times New Roman" w:hAnsi="Times New Roman"/>
          <w:sz w:val="24"/>
          <w:szCs w:val="24"/>
          <w:lang w:val="en-US"/>
        </w:rPr>
        <w:t>.</w:t>
      </w:r>
      <w:r w:rsidR="001F6AC6">
        <w:rPr>
          <w:rStyle w:val="Appelnotedebasdep"/>
          <w:rFonts w:ascii="Times New Roman" w:hAnsi="Times New Roman"/>
          <w:sz w:val="24"/>
          <w:szCs w:val="24"/>
          <w:lang w:val="en-US"/>
        </w:rPr>
        <w:footnoteReference w:id="35"/>
      </w:r>
      <w:r w:rsidR="00E906F8">
        <w:rPr>
          <w:rFonts w:ascii="Times New Roman" w:hAnsi="Times New Roman"/>
          <w:sz w:val="24"/>
          <w:szCs w:val="24"/>
          <w:lang w:val="en-US"/>
        </w:rPr>
        <w:t xml:space="preserve"> </w:t>
      </w:r>
    </w:p>
    <w:p w:rsidR="00A270C9" w:rsidRPr="00A270C9" w:rsidRDefault="00A270C9" w:rsidP="00A270C9">
      <w:pPr>
        <w:keepNext/>
        <w:keepLines/>
        <w:spacing w:after="240" w:line="360" w:lineRule="auto"/>
        <w:jc w:val="center"/>
        <w:rPr>
          <w:rFonts w:ascii="Times New Roman" w:hAnsi="Times New Roman"/>
          <w:b/>
          <w:sz w:val="24"/>
          <w:szCs w:val="24"/>
          <w:lang w:val="en-US"/>
        </w:rPr>
      </w:pPr>
    </w:p>
    <w:p w:rsidR="00B71B3E" w:rsidRPr="00916EFC" w:rsidRDefault="00B71B3E" w:rsidP="00C62F23">
      <w:pPr>
        <w:numPr>
          <w:ilvl w:val="0"/>
          <w:numId w:val="22"/>
        </w:numPr>
        <w:spacing w:after="240" w:line="360" w:lineRule="auto"/>
        <w:jc w:val="both"/>
        <w:rPr>
          <w:rFonts w:ascii="Times New Roman" w:hAnsi="Times New Roman"/>
          <w:b/>
          <w:sz w:val="28"/>
          <w:szCs w:val="28"/>
          <w:lang w:val="en-US"/>
        </w:rPr>
      </w:pPr>
      <w:r w:rsidRPr="00916EFC">
        <w:rPr>
          <w:rFonts w:ascii="Times New Roman" w:hAnsi="Times New Roman"/>
          <w:b/>
          <w:sz w:val="28"/>
          <w:szCs w:val="28"/>
          <w:lang w:val="en-US"/>
        </w:rPr>
        <w:t>Conclusion</w:t>
      </w:r>
      <w:r w:rsidR="00001946">
        <w:rPr>
          <w:rFonts w:ascii="Times New Roman" w:hAnsi="Times New Roman"/>
          <w:b/>
          <w:sz w:val="28"/>
          <w:szCs w:val="28"/>
          <w:lang w:val="en-US"/>
        </w:rPr>
        <w:t xml:space="preserve"> and policy implications</w:t>
      </w:r>
    </w:p>
    <w:p w:rsidR="00B71B3E" w:rsidRDefault="00B7323F" w:rsidP="00C15F35">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 </w:t>
      </w:r>
      <w:r w:rsidR="007C2E59">
        <w:rPr>
          <w:rFonts w:ascii="Times New Roman" w:hAnsi="Times New Roman"/>
          <w:sz w:val="24"/>
          <w:szCs w:val="24"/>
          <w:lang w:val="en-US"/>
        </w:rPr>
        <w:t xml:space="preserve">The basic story told in this paper to explain the low rate of contract renewal in an Indian microinsurance health program can be neatly summarized as follows. </w:t>
      </w:r>
      <w:r w:rsidR="00D023CF">
        <w:rPr>
          <w:rFonts w:ascii="Times New Roman" w:hAnsi="Times New Roman"/>
          <w:sz w:val="24"/>
          <w:szCs w:val="24"/>
          <w:lang w:val="en-US"/>
        </w:rPr>
        <w:t>Insufficient information provided to subscribers determined a low rate of use of the ins</w:t>
      </w:r>
      <w:r w:rsidR="003B54B9">
        <w:rPr>
          <w:rFonts w:ascii="Times New Roman" w:hAnsi="Times New Roman"/>
          <w:sz w:val="24"/>
          <w:szCs w:val="24"/>
          <w:lang w:val="en-US"/>
        </w:rPr>
        <w:t>urance policy which itself led to a situation where many of them did not collect any payment on the insurance</w:t>
      </w:r>
      <w:r w:rsidR="00F247AA">
        <w:rPr>
          <w:rFonts w:ascii="Times New Roman" w:hAnsi="Times New Roman"/>
          <w:sz w:val="24"/>
          <w:szCs w:val="24"/>
          <w:lang w:val="en-US"/>
        </w:rPr>
        <w:t xml:space="preserve"> even though they were eligible</w:t>
      </w:r>
      <w:r w:rsidR="003B54B9">
        <w:rPr>
          <w:rFonts w:ascii="Times New Roman" w:hAnsi="Times New Roman"/>
          <w:sz w:val="24"/>
          <w:szCs w:val="24"/>
          <w:lang w:val="en-US"/>
        </w:rPr>
        <w:t>. Combined with a poor understanding of the notion of insurance among many subscribers,</w:t>
      </w:r>
      <w:r w:rsidR="00BA7F1C">
        <w:rPr>
          <w:rFonts w:ascii="Times New Roman" w:hAnsi="Times New Roman"/>
          <w:sz w:val="24"/>
          <w:szCs w:val="24"/>
          <w:lang w:val="en-US"/>
        </w:rPr>
        <w:t xml:space="preserve"> which contrasts with a remarkable ability to estimate its benefits and costs, such an</w:t>
      </w:r>
      <w:r w:rsidR="003B54B9">
        <w:rPr>
          <w:rFonts w:ascii="Times New Roman" w:hAnsi="Times New Roman"/>
          <w:sz w:val="24"/>
          <w:szCs w:val="24"/>
          <w:lang w:val="en-US"/>
        </w:rPr>
        <w:t xml:space="preserve"> outcome </w:t>
      </w:r>
      <w:r w:rsidR="003B0E3C">
        <w:rPr>
          <w:rFonts w:ascii="Times New Roman" w:hAnsi="Times New Roman"/>
          <w:sz w:val="24"/>
          <w:szCs w:val="24"/>
          <w:lang w:val="en-US"/>
        </w:rPr>
        <w:t xml:space="preserve">caused a low rate of contract renewal. Clearly, the existence of a significant interaction between the cognitive bias and sufficiently negative net insurance payouts </w:t>
      </w:r>
      <w:r w:rsidR="008B4CD4">
        <w:rPr>
          <w:rFonts w:ascii="Times New Roman" w:hAnsi="Times New Roman"/>
          <w:sz w:val="24"/>
          <w:szCs w:val="24"/>
          <w:lang w:val="en-US"/>
        </w:rPr>
        <w:t>cannot be explained by the belief updating process posited in the classical Bayesian model</w:t>
      </w:r>
      <w:r w:rsidR="003B0E3C">
        <w:rPr>
          <w:rFonts w:ascii="Times New Roman" w:hAnsi="Times New Roman"/>
          <w:sz w:val="24"/>
          <w:szCs w:val="24"/>
          <w:lang w:val="en-US"/>
        </w:rPr>
        <w:t>. It</w:t>
      </w:r>
      <w:r w:rsidR="003E4A9D">
        <w:rPr>
          <w:rFonts w:ascii="Times New Roman" w:hAnsi="Times New Roman"/>
          <w:sz w:val="24"/>
          <w:szCs w:val="24"/>
          <w:lang w:val="en-US"/>
        </w:rPr>
        <w:t xml:space="preserve"> rather requires a framework in which agents with identical prior beliefs interpret a given message differently depending upon their understanding capacity or their ability to reason in expected utility terms</w:t>
      </w:r>
      <w:r w:rsidR="003B0E3C">
        <w:rPr>
          <w:rFonts w:ascii="Times New Roman" w:hAnsi="Times New Roman"/>
          <w:sz w:val="24"/>
          <w:szCs w:val="24"/>
          <w:lang w:val="en-US"/>
        </w:rPr>
        <w:t xml:space="preserve"> (that is, to compare the cost of premium with the expected loss)</w:t>
      </w:r>
      <w:r w:rsidR="003E4A9D">
        <w:rPr>
          <w:rFonts w:ascii="Times New Roman" w:hAnsi="Times New Roman"/>
          <w:sz w:val="24"/>
          <w:szCs w:val="24"/>
          <w:lang w:val="en-US"/>
        </w:rPr>
        <w:t>.</w:t>
      </w:r>
      <w:r w:rsidR="00A83C10">
        <w:rPr>
          <w:rFonts w:ascii="Times New Roman" w:hAnsi="Times New Roman"/>
          <w:sz w:val="24"/>
          <w:szCs w:val="24"/>
          <w:lang w:val="en-US"/>
        </w:rPr>
        <w:t xml:space="preserve"> If it is not possible to determine which of the available alternative theories offers the best interpr</w:t>
      </w:r>
      <w:r w:rsidR="00D22BA9">
        <w:rPr>
          <w:rFonts w:ascii="Times New Roman" w:hAnsi="Times New Roman"/>
          <w:sz w:val="24"/>
          <w:szCs w:val="24"/>
          <w:lang w:val="en-US"/>
        </w:rPr>
        <w:t>etation of our central finding,</w:t>
      </w:r>
      <w:r w:rsidR="00DC510E">
        <w:rPr>
          <w:rFonts w:ascii="Times New Roman" w:hAnsi="Times New Roman"/>
          <w:sz w:val="24"/>
          <w:szCs w:val="24"/>
          <w:lang w:val="en-US"/>
        </w:rPr>
        <w:t xml:space="preserve"> subscribers with a low understanding </w:t>
      </w:r>
      <w:r w:rsidR="00D22BA9">
        <w:rPr>
          <w:rFonts w:ascii="Times New Roman" w:hAnsi="Times New Roman"/>
          <w:sz w:val="24"/>
          <w:szCs w:val="24"/>
          <w:lang w:val="en-US"/>
        </w:rPr>
        <w:t xml:space="preserve">seem to </w:t>
      </w:r>
      <w:r w:rsidR="00DC510E">
        <w:rPr>
          <w:rFonts w:ascii="Times New Roman" w:hAnsi="Times New Roman"/>
          <w:sz w:val="24"/>
          <w:szCs w:val="24"/>
          <w:lang w:val="en-US"/>
        </w:rPr>
        <w:t>narrowly</w:t>
      </w:r>
      <w:r w:rsidR="00A83C10">
        <w:rPr>
          <w:rFonts w:ascii="Times New Roman" w:hAnsi="Times New Roman"/>
          <w:sz w:val="24"/>
          <w:szCs w:val="24"/>
          <w:lang w:val="en-US"/>
        </w:rPr>
        <w:t xml:space="preserve"> frame short-term results</w:t>
      </w:r>
      <w:r w:rsidR="00DC510E">
        <w:rPr>
          <w:rFonts w:ascii="Times New Roman" w:hAnsi="Times New Roman"/>
          <w:sz w:val="24"/>
          <w:szCs w:val="24"/>
          <w:lang w:val="en-US"/>
        </w:rPr>
        <w:t>.</w:t>
      </w:r>
      <w:r w:rsidR="00B133B5">
        <w:rPr>
          <w:rFonts w:ascii="Times New Roman" w:hAnsi="Times New Roman"/>
          <w:sz w:val="24"/>
          <w:szCs w:val="24"/>
          <w:lang w:val="en-US"/>
        </w:rPr>
        <w:t xml:space="preserve"> </w:t>
      </w:r>
      <w:r w:rsidR="00A83C10">
        <w:rPr>
          <w:rFonts w:ascii="Times New Roman" w:hAnsi="Times New Roman"/>
          <w:sz w:val="24"/>
          <w:szCs w:val="24"/>
          <w:lang w:val="en-US"/>
        </w:rPr>
        <w:t xml:space="preserve"> </w:t>
      </w:r>
      <w:r w:rsidR="00A25518">
        <w:rPr>
          <w:rFonts w:ascii="Times New Roman" w:hAnsi="Times New Roman"/>
          <w:sz w:val="24"/>
          <w:szCs w:val="24"/>
          <w:lang w:val="en-US"/>
        </w:rPr>
        <w:t>In addition, there is evidence that, if trust in the insurance company matters, its effect cannot be (entirely) disentangled from that of a good understanding</w:t>
      </w:r>
      <w:r>
        <w:rPr>
          <w:rFonts w:ascii="Times New Roman" w:hAnsi="Times New Roman"/>
          <w:sz w:val="24"/>
          <w:szCs w:val="24"/>
          <w:lang w:val="en-US"/>
        </w:rPr>
        <w:t xml:space="preserve"> </w:t>
      </w:r>
      <w:r w:rsidR="00A25518">
        <w:rPr>
          <w:rFonts w:ascii="Times New Roman" w:hAnsi="Times New Roman"/>
          <w:sz w:val="24"/>
          <w:szCs w:val="24"/>
          <w:lang w:val="en-US"/>
        </w:rPr>
        <w:t xml:space="preserve">of insurance. </w:t>
      </w:r>
      <w:r w:rsidR="00133C9B">
        <w:rPr>
          <w:rFonts w:ascii="Times New Roman" w:hAnsi="Times New Roman"/>
          <w:sz w:val="24"/>
          <w:szCs w:val="24"/>
          <w:lang w:val="en-US"/>
        </w:rPr>
        <w:t>The</w:t>
      </w:r>
      <w:r w:rsidR="00A25518">
        <w:rPr>
          <w:rFonts w:ascii="Times New Roman" w:hAnsi="Times New Roman"/>
          <w:sz w:val="24"/>
          <w:szCs w:val="24"/>
          <w:lang w:val="en-US"/>
        </w:rPr>
        <w:t xml:space="preserve"> policy implication </w:t>
      </w:r>
      <w:r w:rsidR="00133C9B">
        <w:rPr>
          <w:rFonts w:ascii="Times New Roman" w:hAnsi="Times New Roman"/>
          <w:sz w:val="24"/>
          <w:szCs w:val="24"/>
          <w:lang w:val="en-US"/>
        </w:rPr>
        <w:t>is that</w:t>
      </w:r>
      <w:r w:rsidR="00A25518">
        <w:rPr>
          <w:rFonts w:ascii="Times New Roman" w:hAnsi="Times New Roman"/>
          <w:sz w:val="24"/>
          <w:szCs w:val="24"/>
          <w:lang w:val="en-US"/>
        </w:rPr>
        <w:t xml:space="preserve"> improving people’s grasp of the notion of insurance is a privileged way of enhancing trust and, thereby, increasing take-up and contract renewal rates. </w:t>
      </w:r>
    </w:p>
    <w:p w:rsidR="00B71B3E" w:rsidRDefault="00B71B3E" w:rsidP="00B71B3E">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The information failure could have been avoided because it is supply-driven. </w:t>
      </w:r>
      <w:r w:rsidR="00C143B4">
        <w:rPr>
          <w:rFonts w:ascii="Times New Roman" w:hAnsi="Times New Roman"/>
          <w:sz w:val="24"/>
          <w:szCs w:val="24"/>
          <w:lang w:val="en-US"/>
        </w:rPr>
        <w:t>T</w:t>
      </w:r>
      <w:r>
        <w:rPr>
          <w:rFonts w:ascii="Times New Roman" w:hAnsi="Times New Roman"/>
          <w:sz w:val="24"/>
          <w:szCs w:val="24"/>
          <w:lang w:val="en-US"/>
        </w:rPr>
        <w:t>he organization in charge of explaining the program to willing subscribers has</w:t>
      </w:r>
      <w:r w:rsidR="005C3E0C">
        <w:rPr>
          <w:rFonts w:ascii="Times New Roman" w:hAnsi="Times New Roman"/>
          <w:sz w:val="24"/>
          <w:szCs w:val="24"/>
          <w:lang w:val="en-US"/>
        </w:rPr>
        <w:t xml:space="preserve"> actually</w:t>
      </w:r>
      <w:r>
        <w:rPr>
          <w:rFonts w:ascii="Times New Roman" w:hAnsi="Times New Roman"/>
          <w:sz w:val="24"/>
          <w:szCs w:val="24"/>
          <w:lang w:val="en-US"/>
        </w:rPr>
        <w:t xml:space="preserve"> failed to ensure enough physical presence and </w:t>
      </w:r>
      <w:r w:rsidR="00CF3238">
        <w:rPr>
          <w:rFonts w:ascii="Times New Roman" w:hAnsi="Times New Roman"/>
          <w:sz w:val="24"/>
          <w:szCs w:val="24"/>
          <w:lang w:val="en-US"/>
        </w:rPr>
        <w:t xml:space="preserve">staff </w:t>
      </w:r>
      <w:r>
        <w:rPr>
          <w:rFonts w:ascii="Times New Roman" w:hAnsi="Times New Roman"/>
          <w:sz w:val="24"/>
          <w:szCs w:val="24"/>
          <w:lang w:val="en-US"/>
        </w:rPr>
        <w:t xml:space="preserve">availability on the field. </w:t>
      </w:r>
      <w:r w:rsidR="005C3E0C">
        <w:rPr>
          <w:rFonts w:ascii="Times New Roman" w:hAnsi="Times New Roman"/>
          <w:sz w:val="24"/>
          <w:szCs w:val="24"/>
          <w:lang w:val="en-US"/>
        </w:rPr>
        <w:t>It is reassuring</w:t>
      </w:r>
      <w:r>
        <w:rPr>
          <w:rFonts w:ascii="Times New Roman" w:hAnsi="Times New Roman"/>
          <w:sz w:val="24"/>
          <w:szCs w:val="24"/>
          <w:lang w:val="en-US"/>
        </w:rPr>
        <w:t xml:space="preserve"> that those households which have actually used the insurance are generally satisfied with the program and that very few households have complained </w:t>
      </w:r>
      <w:r w:rsidR="005C3E0C">
        <w:rPr>
          <w:rFonts w:ascii="Times New Roman" w:hAnsi="Times New Roman"/>
          <w:sz w:val="24"/>
          <w:szCs w:val="24"/>
          <w:lang w:val="en-US"/>
        </w:rPr>
        <w:t>about the level of the premium, the quality of the health services delivered, or incentive problems.</w:t>
      </w:r>
      <w:r>
        <w:rPr>
          <w:rFonts w:ascii="Times New Roman" w:hAnsi="Times New Roman"/>
          <w:sz w:val="24"/>
          <w:szCs w:val="24"/>
          <w:lang w:val="en-US"/>
        </w:rPr>
        <w:t xml:space="preserve"> </w:t>
      </w:r>
    </w:p>
    <w:p w:rsidR="005C3E0C" w:rsidRDefault="005C3E0C" w:rsidP="002A19C7">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 xml:space="preserve">The understanding failure is obviously harder to overcome since correcting a cognitive bias requires to change people’s perception of the function of insurance. Existing studies show that undue optimism regarding the impact of special training sessions or awareness campaigns is unwarranted. Thus, in a recent study by Dercon et al. (2012), a training program </w:t>
      </w:r>
      <w:r>
        <w:rPr>
          <w:rFonts w:ascii="Times New Roman" w:hAnsi="Times New Roman"/>
          <w:sz w:val="24"/>
          <w:szCs w:val="24"/>
          <w:lang w:val="en-US"/>
        </w:rPr>
        <w:lastRenderedPageBreak/>
        <w:t>has been experimentally tried in Kenya yet no perceptible impact on enrollment rates into a health insurance program could be observed. The same conclusion was reached in another randomized control trial carried out in Senegal: participation in a literacy module on insurance principles and mutual health organizations had no significant impact on the demand for microinsurance (Bonan et al., 2012). Lastly, a study based on an online lab experiment and focused on the choice between term and whole life insurance products in India concluded that messages designed to correct cognitive biases have no impact (Anagol et al., 2013).</w:t>
      </w:r>
      <w:r w:rsidR="00CB7F7D">
        <w:rPr>
          <w:rStyle w:val="Appelnotedebasdep"/>
          <w:rFonts w:ascii="Times New Roman" w:hAnsi="Times New Roman"/>
          <w:sz w:val="24"/>
          <w:szCs w:val="24"/>
          <w:lang w:val="en-US"/>
        </w:rPr>
        <w:footnoteReference w:id="36"/>
      </w:r>
      <w:r>
        <w:rPr>
          <w:rFonts w:ascii="Times New Roman" w:hAnsi="Times New Roman"/>
          <w:sz w:val="24"/>
          <w:szCs w:val="24"/>
          <w:lang w:val="en-US"/>
        </w:rPr>
        <w:t xml:space="preserve"> </w:t>
      </w:r>
    </w:p>
    <w:p w:rsidR="005C3E0C" w:rsidRDefault="00D22BA9" w:rsidP="005C3E0C">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The only option left is</w:t>
      </w:r>
      <w:r w:rsidR="005C3E0C">
        <w:rPr>
          <w:rFonts w:ascii="Times New Roman" w:hAnsi="Times New Roman"/>
          <w:sz w:val="24"/>
          <w:szCs w:val="24"/>
          <w:lang w:val="en-US"/>
        </w:rPr>
        <w:t xml:space="preserve"> to design the insurance products in such a way that people unaccustomed to the complex meaning of insurance can most easily perceive their value for them. Possible solutions consist of offering rebates to households which did not reap benefits (Kunreuther et al., 2013: 99-100), or mixing up a variety of risks so that the probability of receiving an indemnity in a </w:t>
      </w:r>
      <w:r>
        <w:rPr>
          <w:rFonts w:ascii="Times New Roman" w:hAnsi="Times New Roman"/>
          <w:sz w:val="24"/>
          <w:szCs w:val="24"/>
          <w:lang w:val="en-US"/>
        </w:rPr>
        <w:t>rather short time span is sufficiently</w:t>
      </w:r>
      <w:r w:rsidR="005C3E0C">
        <w:rPr>
          <w:rFonts w:ascii="Times New Roman" w:hAnsi="Times New Roman"/>
          <w:sz w:val="24"/>
          <w:szCs w:val="24"/>
          <w:lang w:val="en-US"/>
        </w:rPr>
        <w:t xml:space="preserve"> high for each and every household. </w:t>
      </w:r>
      <w:r w:rsidR="005C3E0C" w:rsidRPr="002D70D6">
        <w:rPr>
          <w:rFonts w:ascii="Times New Roman" w:hAnsi="Times New Roman"/>
          <w:sz w:val="24"/>
          <w:szCs w:val="24"/>
          <w:lang w:val="en-US"/>
        </w:rPr>
        <w:t>We should take comfort from the fact that village societies ha</w:t>
      </w:r>
      <w:r w:rsidR="005C3E0C">
        <w:rPr>
          <w:rFonts w:ascii="Times New Roman" w:hAnsi="Times New Roman"/>
          <w:sz w:val="24"/>
          <w:szCs w:val="24"/>
          <w:lang w:val="en-US"/>
        </w:rPr>
        <w:t>ve traditionally employed the latter</w:t>
      </w:r>
      <w:r w:rsidR="005C3E0C" w:rsidRPr="002D70D6">
        <w:rPr>
          <w:rFonts w:ascii="Times New Roman" w:hAnsi="Times New Roman"/>
          <w:sz w:val="24"/>
          <w:szCs w:val="24"/>
          <w:lang w:val="en-US"/>
        </w:rPr>
        <w:t xml:space="preserve"> method (Platteau, 1987, 1991, 1997; Udry, 1990, 1993, 1994).</w:t>
      </w:r>
      <w:r w:rsidR="005C3E0C">
        <w:rPr>
          <w:rFonts w:ascii="Times New Roman" w:hAnsi="Times New Roman"/>
          <w:sz w:val="24"/>
          <w:szCs w:val="24"/>
          <w:lang w:val="en-US"/>
        </w:rPr>
        <w:t xml:space="preserve"> Yet, when many risks are packaged together, it is essential to avoid the imposition of large deductibles which individuals who fail to consider lifetime wealth strongly dislike (Rabin and Thaler, 2001).</w:t>
      </w:r>
    </w:p>
    <w:p w:rsidR="0066279F" w:rsidRDefault="005B543D" w:rsidP="001C796F">
      <w:pPr>
        <w:spacing w:after="240" w:line="360" w:lineRule="auto"/>
        <w:ind w:firstLine="426"/>
        <w:jc w:val="both"/>
        <w:rPr>
          <w:rFonts w:ascii="Times New Roman" w:hAnsi="Times New Roman"/>
          <w:sz w:val="24"/>
          <w:szCs w:val="24"/>
          <w:lang w:val="en-US"/>
        </w:rPr>
      </w:pPr>
      <w:r>
        <w:rPr>
          <w:rFonts w:ascii="Times New Roman" w:hAnsi="Times New Roman"/>
          <w:sz w:val="24"/>
          <w:szCs w:val="24"/>
          <w:lang w:val="en-US"/>
        </w:rPr>
        <w:t>The above is the essential message that we draw from the study. But there are a</w:t>
      </w:r>
      <w:r w:rsidR="00D22BA9">
        <w:rPr>
          <w:rFonts w:ascii="Times New Roman" w:hAnsi="Times New Roman"/>
          <w:sz w:val="24"/>
          <w:szCs w:val="24"/>
          <w:lang w:val="en-US"/>
        </w:rPr>
        <w:t xml:space="preserve"> number of side results</w:t>
      </w:r>
      <w:r>
        <w:rPr>
          <w:rFonts w:ascii="Times New Roman" w:hAnsi="Times New Roman"/>
          <w:sz w:val="24"/>
          <w:szCs w:val="24"/>
          <w:lang w:val="en-US"/>
        </w:rPr>
        <w:t xml:space="preserve"> worth pondering. The first one is</w:t>
      </w:r>
      <w:r w:rsidR="00B71B3E">
        <w:rPr>
          <w:rFonts w:ascii="Times New Roman" w:hAnsi="Times New Roman"/>
          <w:sz w:val="24"/>
          <w:szCs w:val="24"/>
          <w:lang w:val="en-US"/>
        </w:rPr>
        <w:t xml:space="preserve"> the positive effect of participation in self-help groups on both subscription to the insurance and cont</w:t>
      </w:r>
      <w:r w:rsidR="007121FC">
        <w:rPr>
          <w:rFonts w:ascii="Times New Roman" w:hAnsi="Times New Roman"/>
          <w:sz w:val="24"/>
          <w:szCs w:val="24"/>
          <w:lang w:val="en-US"/>
        </w:rPr>
        <w:t>ract renewal. Had</w:t>
      </w:r>
      <w:r w:rsidR="00B71B3E">
        <w:rPr>
          <w:rFonts w:ascii="Times New Roman" w:hAnsi="Times New Roman"/>
          <w:sz w:val="24"/>
          <w:szCs w:val="24"/>
          <w:lang w:val="en-US"/>
        </w:rPr>
        <w:t xml:space="preserve"> these groups</w:t>
      </w:r>
      <w:r w:rsidR="007121FC">
        <w:rPr>
          <w:rFonts w:ascii="Times New Roman" w:hAnsi="Times New Roman"/>
          <w:sz w:val="24"/>
          <w:szCs w:val="24"/>
          <w:lang w:val="en-US"/>
        </w:rPr>
        <w:t xml:space="preserve"> been more widespread and the support provided to them by the insurance provider more serious and systematic,</w:t>
      </w:r>
      <w:r w:rsidR="00B71B3E">
        <w:rPr>
          <w:rFonts w:ascii="Times New Roman" w:hAnsi="Times New Roman"/>
          <w:sz w:val="24"/>
          <w:szCs w:val="24"/>
          <w:lang w:val="en-US"/>
        </w:rPr>
        <w:t xml:space="preserve"> the implementation of the </w:t>
      </w:r>
      <w:r w:rsidR="00974D6A">
        <w:rPr>
          <w:rFonts w:ascii="Times New Roman" w:hAnsi="Times New Roman"/>
          <w:sz w:val="24"/>
          <w:szCs w:val="24"/>
          <w:lang w:val="en-US"/>
        </w:rPr>
        <w:t>microinsurance</w:t>
      </w:r>
      <w:r w:rsidR="00B71B3E">
        <w:rPr>
          <w:rFonts w:ascii="Times New Roman" w:hAnsi="Times New Roman"/>
          <w:sz w:val="24"/>
          <w:szCs w:val="24"/>
          <w:lang w:val="en-US"/>
        </w:rPr>
        <w:t xml:space="preserve"> health scheme</w:t>
      </w:r>
      <w:r w:rsidR="007121FC">
        <w:rPr>
          <w:rFonts w:ascii="Times New Roman" w:hAnsi="Times New Roman"/>
          <w:sz w:val="24"/>
          <w:szCs w:val="24"/>
          <w:lang w:val="en-US"/>
        </w:rPr>
        <w:t xml:space="preserve"> would have been more </w:t>
      </w:r>
      <w:r w:rsidR="00A4253F">
        <w:rPr>
          <w:rFonts w:ascii="Times New Roman" w:hAnsi="Times New Roman"/>
          <w:sz w:val="24"/>
          <w:szCs w:val="24"/>
          <w:lang w:val="en-US"/>
        </w:rPr>
        <w:t xml:space="preserve">effective. </w:t>
      </w:r>
      <w:r>
        <w:rPr>
          <w:rFonts w:ascii="Times New Roman" w:hAnsi="Times New Roman"/>
          <w:sz w:val="24"/>
          <w:szCs w:val="24"/>
          <w:lang w:val="en-US"/>
        </w:rPr>
        <w:t>Second, l</w:t>
      </w:r>
      <w:r w:rsidR="004D0E9F">
        <w:rPr>
          <w:rFonts w:ascii="Times New Roman" w:hAnsi="Times New Roman"/>
          <w:sz w:val="24"/>
          <w:szCs w:val="24"/>
          <w:lang w:val="en-US"/>
        </w:rPr>
        <w:t>iteracy positively influences contract renewal</w:t>
      </w:r>
      <w:r>
        <w:rPr>
          <w:rFonts w:ascii="Times New Roman" w:hAnsi="Times New Roman"/>
          <w:sz w:val="24"/>
          <w:szCs w:val="24"/>
          <w:lang w:val="en-US"/>
        </w:rPr>
        <w:t xml:space="preserve"> and the same can</w:t>
      </w:r>
      <w:r w:rsidR="00B71B3E">
        <w:rPr>
          <w:rFonts w:ascii="Times New Roman" w:hAnsi="Times New Roman"/>
          <w:sz w:val="24"/>
          <w:szCs w:val="24"/>
          <w:lang w:val="en-US"/>
        </w:rPr>
        <w:t xml:space="preserve"> be</w:t>
      </w:r>
      <w:r w:rsidR="004D0E9F">
        <w:rPr>
          <w:rFonts w:ascii="Times New Roman" w:hAnsi="Times New Roman"/>
          <w:sz w:val="24"/>
          <w:szCs w:val="24"/>
          <w:lang w:val="en-US"/>
        </w:rPr>
        <w:t xml:space="preserve"> said of</w:t>
      </w:r>
      <w:r w:rsidR="00304415">
        <w:rPr>
          <w:rFonts w:ascii="Times New Roman" w:hAnsi="Times New Roman"/>
          <w:sz w:val="24"/>
          <w:szCs w:val="24"/>
          <w:lang w:val="en-US"/>
        </w:rPr>
        <w:t xml:space="preserve"> people’s training in matters of</w:t>
      </w:r>
      <w:r w:rsidR="00B71B3E">
        <w:rPr>
          <w:rFonts w:ascii="Times New Roman" w:hAnsi="Times New Roman"/>
          <w:sz w:val="24"/>
          <w:szCs w:val="24"/>
          <w:lang w:val="en-US"/>
        </w:rPr>
        <w:t xml:space="preserve"> basic health care</w:t>
      </w:r>
      <w:r w:rsidR="00304415">
        <w:rPr>
          <w:rFonts w:ascii="Times New Roman" w:hAnsi="Times New Roman"/>
          <w:sz w:val="24"/>
          <w:szCs w:val="24"/>
          <w:lang w:val="en-US"/>
        </w:rPr>
        <w:t xml:space="preserve"> and hygiene, which</w:t>
      </w:r>
      <w:r w:rsidR="00B71B3E">
        <w:rPr>
          <w:rFonts w:ascii="Times New Roman" w:hAnsi="Times New Roman"/>
          <w:sz w:val="24"/>
          <w:szCs w:val="24"/>
          <w:lang w:val="en-US"/>
        </w:rPr>
        <w:t xml:space="preserve"> increases the likelihood </w:t>
      </w:r>
      <w:r w:rsidR="00304415">
        <w:rPr>
          <w:rFonts w:ascii="Times New Roman" w:hAnsi="Times New Roman"/>
          <w:sz w:val="24"/>
          <w:szCs w:val="24"/>
          <w:lang w:val="en-US"/>
        </w:rPr>
        <w:t xml:space="preserve">of not only </w:t>
      </w:r>
      <w:r w:rsidR="00B71B3E">
        <w:rPr>
          <w:rFonts w:ascii="Times New Roman" w:hAnsi="Times New Roman"/>
          <w:sz w:val="24"/>
          <w:szCs w:val="24"/>
          <w:lang w:val="en-US"/>
        </w:rPr>
        <w:t xml:space="preserve">renewal </w:t>
      </w:r>
      <w:r w:rsidR="00304415">
        <w:rPr>
          <w:rFonts w:ascii="Times New Roman" w:hAnsi="Times New Roman"/>
          <w:sz w:val="24"/>
          <w:szCs w:val="24"/>
          <w:lang w:val="en-US"/>
        </w:rPr>
        <w:t xml:space="preserve">but also the initial take-up rates </w:t>
      </w:r>
      <w:r w:rsidR="00B71B3E">
        <w:rPr>
          <w:rFonts w:ascii="Times New Roman" w:hAnsi="Times New Roman"/>
          <w:sz w:val="24"/>
          <w:szCs w:val="24"/>
          <w:lang w:val="en-US"/>
        </w:rPr>
        <w:t>significantly.</w:t>
      </w:r>
      <w:r w:rsidR="00304415">
        <w:rPr>
          <w:rFonts w:ascii="Times New Roman" w:hAnsi="Times New Roman"/>
          <w:sz w:val="24"/>
          <w:szCs w:val="24"/>
          <w:lang w:val="en-US"/>
        </w:rPr>
        <w:t xml:space="preserve"> On </w:t>
      </w:r>
      <w:r w:rsidR="004D0E9F">
        <w:rPr>
          <w:rFonts w:ascii="Times New Roman" w:hAnsi="Times New Roman"/>
          <w:sz w:val="24"/>
          <w:szCs w:val="24"/>
          <w:lang w:val="en-US"/>
        </w:rPr>
        <w:t>the other hand, and rather unexpectedly,</w:t>
      </w:r>
      <w:r w:rsidR="00304415">
        <w:rPr>
          <w:rFonts w:ascii="Times New Roman" w:hAnsi="Times New Roman"/>
          <w:sz w:val="24"/>
          <w:szCs w:val="24"/>
          <w:lang w:val="en-US"/>
        </w:rPr>
        <w:t xml:space="preserve"> formal education had the opposite effect of discouraging contract renewal apparently because better educated people were </w:t>
      </w:r>
      <w:r w:rsidR="004344B3">
        <w:rPr>
          <w:rFonts w:ascii="Times New Roman" w:hAnsi="Times New Roman"/>
          <w:sz w:val="24"/>
          <w:szCs w:val="24"/>
          <w:lang w:val="en-US"/>
        </w:rPr>
        <w:t xml:space="preserve">particularly </w:t>
      </w:r>
      <w:r w:rsidR="006056D6">
        <w:rPr>
          <w:rFonts w:ascii="Times New Roman" w:hAnsi="Times New Roman"/>
          <w:sz w:val="24"/>
          <w:szCs w:val="24"/>
          <w:lang w:val="en-US"/>
        </w:rPr>
        <w:t>disgruntled</w:t>
      </w:r>
      <w:r w:rsidR="00682078">
        <w:rPr>
          <w:rFonts w:ascii="Times New Roman" w:hAnsi="Times New Roman"/>
          <w:sz w:val="24"/>
          <w:szCs w:val="24"/>
          <w:lang w:val="en-US"/>
        </w:rPr>
        <w:t xml:space="preserve"> about</w:t>
      </w:r>
      <w:r w:rsidR="00304415">
        <w:rPr>
          <w:rFonts w:ascii="Times New Roman" w:hAnsi="Times New Roman"/>
          <w:sz w:val="24"/>
          <w:szCs w:val="24"/>
          <w:lang w:val="en-US"/>
        </w:rPr>
        <w:t xml:space="preserve"> the info</w:t>
      </w:r>
      <w:r w:rsidR="00D822E7">
        <w:rPr>
          <w:rFonts w:ascii="Times New Roman" w:hAnsi="Times New Roman"/>
          <w:sz w:val="24"/>
          <w:szCs w:val="24"/>
          <w:lang w:val="en-US"/>
        </w:rPr>
        <w:t>rmation failures</w:t>
      </w:r>
      <w:r w:rsidR="006056D6">
        <w:rPr>
          <w:rFonts w:ascii="Times New Roman" w:hAnsi="Times New Roman"/>
          <w:sz w:val="24"/>
          <w:szCs w:val="24"/>
          <w:lang w:val="en-US"/>
        </w:rPr>
        <w:t xml:space="preserve"> and prone to express grievances against the organization in charge</w:t>
      </w:r>
      <w:r w:rsidR="00304415">
        <w:rPr>
          <w:rFonts w:ascii="Times New Roman" w:hAnsi="Times New Roman"/>
          <w:sz w:val="24"/>
          <w:szCs w:val="24"/>
          <w:lang w:val="en-US"/>
        </w:rPr>
        <w:t>.</w:t>
      </w:r>
      <w:r>
        <w:rPr>
          <w:rFonts w:ascii="Times New Roman" w:hAnsi="Times New Roman"/>
          <w:sz w:val="24"/>
          <w:szCs w:val="24"/>
          <w:lang w:val="en-US"/>
        </w:rPr>
        <w:t xml:space="preserve"> Finally, there is the</w:t>
      </w:r>
      <w:r w:rsidR="00B71B3E">
        <w:rPr>
          <w:rFonts w:ascii="Times New Roman" w:hAnsi="Times New Roman"/>
          <w:sz w:val="24"/>
          <w:szCs w:val="24"/>
          <w:lang w:val="en-US"/>
        </w:rPr>
        <w:t xml:space="preserve"> effect of wealth: poorest households are less likely to enroll into </w:t>
      </w:r>
      <w:r w:rsidR="00B71B3E">
        <w:rPr>
          <w:rFonts w:ascii="Times New Roman" w:hAnsi="Times New Roman"/>
          <w:sz w:val="24"/>
          <w:szCs w:val="24"/>
          <w:lang w:val="en-US"/>
        </w:rPr>
        <w:lastRenderedPageBreak/>
        <w:t xml:space="preserve">the </w:t>
      </w:r>
      <w:r w:rsidR="00974D6A">
        <w:rPr>
          <w:rFonts w:ascii="Times New Roman" w:hAnsi="Times New Roman"/>
          <w:sz w:val="24"/>
          <w:szCs w:val="24"/>
          <w:lang w:val="en-US"/>
        </w:rPr>
        <w:t>microinsurance</w:t>
      </w:r>
      <w:r w:rsidR="00B71B3E">
        <w:rPr>
          <w:rFonts w:ascii="Times New Roman" w:hAnsi="Times New Roman"/>
          <w:sz w:val="24"/>
          <w:szCs w:val="24"/>
          <w:lang w:val="en-US"/>
        </w:rPr>
        <w:t xml:space="preserve"> program yet, once they have experimented with it and other things being equal (occurrence of sickness, understanding and information levels, etc.), they have a higher probability to renew their contract than other households. This </w:t>
      </w:r>
      <w:r w:rsidR="00F652D9">
        <w:rPr>
          <w:rFonts w:ascii="Times New Roman" w:hAnsi="Times New Roman"/>
          <w:sz w:val="24"/>
          <w:szCs w:val="24"/>
          <w:lang w:val="en-US"/>
        </w:rPr>
        <w:t xml:space="preserve">is an </w:t>
      </w:r>
      <w:r w:rsidR="00B71B3E">
        <w:rPr>
          <w:rFonts w:ascii="Times New Roman" w:hAnsi="Times New Roman"/>
          <w:sz w:val="24"/>
          <w:szCs w:val="24"/>
          <w:lang w:val="en-US"/>
        </w:rPr>
        <w:t xml:space="preserve">encouraging finding </w:t>
      </w:r>
      <w:r w:rsidR="00F652D9">
        <w:rPr>
          <w:rFonts w:ascii="Times New Roman" w:hAnsi="Times New Roman"/>
          <w:sz w:val="24"/>
          <w:szCs w:val="24"/>
          <w:lang w:val="en-US"/>
        </w:rPr>
        <w:t xml:space="preserve">suggesting that </w:t>
      </w:r>
      <w:r w:rsidR="00B71B3E">
        <w:rPr>
          <w:rFonts w:ascii="Times New Roman" w:hAnsi="Times New Roman"/>
          <w:sz w:val="24"/>
          <w:szCs w:val="24"/>
          <w:lang w:val="en-US"/>
        </w:rPr>
        <w:t>campaigning efforts</w:t>
      </w:r>
      <w:r w:rsidR="00F652D9">
        <w:rPr>
          <w:rFonts w:ascii="Times New Roman" w:hAnsi="Times New Roman"/>
          <w:sz w:val="24"/>
          <w:szCs w:val="24"/>
          <w:lang w:val="en-US"/>
        </w:rPr>
        <w:t xml:space="preserve"> ought to be concentrated</w:t>
      </w:r>
      <w:r w:rsidR="00B71B3E">
        <w:rPr>
          <w:rFonts w:ascii="Times New Roman" w:hAnsi="Times New Roman"/>
          <w:sz w:val="24"/>
          <w:szCs w:val="24"/>
          <w:lang w:val="en-US"/>
        </w:rPr>
        <w:t xml:space="preserve"> on the poorest segment of the population since it </w:t>
      </w:r>
      <w:r w:rsidR="00F652D9">
        <w:rPr>
          <w:rFonts w:ascii="Times New Roman" w:hAnsi="Times New Roman"/>
          <w:sz w:val="24"/>
          <w:szCs w:val="24"/>
          <w:lang w:val="en-US"/>
        </w:rPr>
        <w:t>appears to</w:t>
      </w:r>
      <w:r w:rsidR="00B71B3E">
        <w:rPr>
          <w:rFonts w:ascii="Times New Roman" w:hAnsi="Times New Roman"/>
          <w:sz w:val="24"/>
          <w:szCs w:val="24"/>
          <w:lang w:val="en-US"/>
        </w:rPr>
        <w:t xml:space="preserve"> draw </w:t>
      </w:r>
      <w:r w:rsidR="00F652D9">
        <w:rPr>
          <w:rFonts w:ascii="Times New Roman" w:hAnsi="Times New Roman"/>
          <w:sz w:val="24"/>
          <w:szCs w:val="24"/>
          <w:lang w:val="en-US"/>
        </w:rPr>
        <w:t>comparatively large</w:t>
      </w:r>
      <w:r w:rsidR="00B71B3E">
        <w:rPr>
          <w:rFonts w:ascii="Times New Roman" w:hAnsi="Times New Roman"/>
          <w:sz w:val="24"/>
          <w:szCs w:val="24"/>
          <w:lang w:val="en-US"/>
        </w:rPr>
        <w:t xml:space="preserve"> benefits from health </w:t>
      </w:r>
      <w:r w:rsidR="00974D6A">
        <w:rPr>
          <w:rFonts w:ascii="Times New Roman" w:hAnsi="Times New Roman"/>
          <w:sz w:val="24"/>
          <w:szCs w:val="24"/>
          <w:lang w:val="en-US"/>
        </w:rPr>
        <w:t>microinsurance</w:t>
      </w:r>
      <w:r w:rsidR="00F652D9">
        <w:rPr>
          <w:rFonts w:ascii="Times New Roman" w:hAnsi="Times New Roman"/>
          <w:sz w:val="24"/>
          <w:szCs w:val="24"/>
          <w:lang w:val="en-US"/>
        </w:rPr>
        <w:t xml:space="preserve"> </w:t>
      </w:r>
      <w:r w:rsidR="00133C9B">
        <w:rPr>
          <w:rFonts w:ascii="Times New Roman" w:hAnsi="Times New Roman"/>
          <w:sz w:val="24"/>
          <w:szCs w:val="24"/>
          <w:lang w:val="en-US"/>
        </w:rPr>
        <w:t>when the circumstances are favo</w:t>
      </w:r>
      <w:r w:rsidR="00F652D9">
        <w:rPr>
          <w:rFonts w:ascii="Times New Roman" w:hAnsi="Times New Roman"/>
          <w:sz w:val="24"/>
          <w:szCs w:val="24"/>
          <w:lang w:val="en-US"/>
        </w:rPr>
        <w:t>rable.</w:t>
      </w:r>
    </w:p>
    <w:p w:rsidR="001C796F" w:rsidRPr="001C796F" w:rsidRDefault="001C796F" w:rsidP="001C796F">
      <w:pPr>
        <w:spacing w:after="240" w:line="360" w:lineRule="auto"/>
        <w:ind w:firstLine="426"/>
        <w:jc w:val="both"/>
        <w:rPr>
          <w:rFonts w:ascii="Times New Roman" w:hAnsi="Times New Roman"/>
          <w:sz w:val="24"/>
          <w:szCs w:val="24"/>
          <w:lang w:val="en-US"/>
        </w:rPr>
      </w:pPr>
    </w:p>
    <w:p w:rsidR="00B71B3E" w:rsidRPr="004D50B0" w:rsidRDefault="00B71B3E" w:rsidP="004D50B0">
      <w:pPr>
        <w:spacing w:after="240" w:line="360" w:lineRule="auto"/>
        <w:jc w:val="both"/>
        <w:rPr>
          <w:rFonts w:ascii="Times New Roman" w:hAnsi="Times New Roman"/>
          <w:sz w:val="24"/>
          <w:szCs w:val="24"/>
          <w:lang w:val="en-US"/>
        </w:rPr>
      </w:pPr>
      <w:r w:rsidRPr="00916EFC">
        <w:rPr>
          <w:rFonts w:ascii="Times New Roman" w:hAnsi="Times New Roman"/>
          <w:b/>
          <w:sz w:val="28"/>
          <w:szCs w:val="28"/>
          <w:lang w:val="en-US"/>
        </w:rPr>
        <w:t>References</w:t>
      </w:r>
    </w:p>
    <w:p w:rsidR="00B71B3E" w:rsidRDefault="00B71B3E" w:rsidP="00BE0AE7">
      <w:pPr>
        <w:spacing w:before="100" w:beforeAutospacing="1" w:after="100" w:afterAutospacing="1" w:line="240" w:lineRule="auto"/>
        <w:jc w:val="both"/>
        <w:rPr>
          <w:rFonts w:ascii="Times New Roman" w:hAnsi="Times New Roman"/>
          <w:color w:val="000000"/>
          <w:sz w:val="24"/>
          <w:szCs w:val="24"/>
          <w:lang w:val="en-US"/>
        </w:rPr>
      </w:pPr>
      <w:r w:rsidRPr="005B3A08">
        <w:rPr>
          <w:rFonts w:ascii="Times New Roman" w:hAnsi="Times New Roman"/>
          <w:color w:val="000000"/>
          <w:sz w:val="24"/>
          <w:szCs w:val="24"/>
          <w:lang w:val="en-US"/>
        </w:rPr>
        <w:t xml:space="preserve">Ai, C., </w:t>
      </w:r>
      <w:r>
        <w:rPr>
          <w:rFonts w:ascii="Times New Roman" w:hAnsi="Times New Roman"/>
          <w:color w:val="000000"/>
          <w:sz w:val="24"/>
          <w:szCs w:val="24"/>
          <w:lang w:val="en-US"/>
        </w:rPr>
        <w:t xml:space="preserve">and E. </w:t>
      </w:r>
      <w:r w:rsidRPr="005B3A08">
        <w:rPr>
          <w:rFonts w:ascii="Times New Roman" w:hAnsi="Times New Roman"/>
          <w:color w:val="000000"/>
          <w:sz w:val="24"/>
          <w:szCs w:val="24"/>
          <w:lang w:val="en-US"/>
        </w:rPr>
        <w:t xml:space="preserve">Norton, 2003. </w:t>
      </w:r>
      <w:r>
        <w:rPr>
          <w:rFonts w:ascii="Times New Roman" w:hAnsi="Times New Roman"/>
          <w:color w:val="000000"/>
          <w:sz w:val="24"/>
          <w:szCs w:val="24"/>
          <w:lang w:val="en-US"/>
        </w:rPr>
        <w:t>“Interaction Terms in Logit and Probit M</w:t>
      </w:r>
      <w:r w:rsidRPr="005B3A08">
        <w:rPr>
          <w:rFonts w:ascii="Times New Roman" w:hAnsi="Times New Roman"/>
          <w:color w:val="000000"/>
          <w:sz w:val="24"/>
          <w:szCs w:val="24"/>
          <w:lang w:val="en-US"/>
        </w:rPr>
        <w:t>odels</w:t>
      </w:r>
      <w:r>
        <w:rPr>
          <w:rFonts w:ascii="Times New Roman" w:hAnsi="Times New Roman"/>
          <w:color w:val="000000"/>
          <w:sz w:val="24"/>
          <w:szCs w:val="24"/>
          <w:lang w:val="en-US"/>
        </w:rPr>
        <w:t>”</w:t>
      </w:r>
      <w:r w:rsidRPr="005B3A08">
        <w:rPr>
          <w:rFonts w:ascii="Times New Roman" w:hAnsi="Times New Roman"/>
          <w:color w:val="000000"/>
          <w:sz w:val="24"/>
          <w:szCs w:val="24"/>
          <w:lang w:val="en-US"/>
        </w:rPr>
        <w:t xml:space="preserve">. </w:t>
      </w:r>
      <w:r w:rsidR="00BE0AE7">
        <w:rPr>
          <w:rFonts w:ascii="Times New Roman" w:hAnsi="Times New Roman"/>
          <w:i/>
          <w:color w:val="000000"/>
          <w:sz w:val="24"/>
          <w:szCs w:val="24"/>
          <w:lang w:val="en-US"/>
        </w:rPr>
        <w:t xml:space="preserve">Economics </w:t>
      </w:r>
      <w:r w:rsidRPr="00294E1F">
        <w:rPr>
          <w:rFonts w:ascii="Times New Roman" w:hAnsi="Times New Roman"/>
          <w:i/>
          <w:color w:val="000000"/>
          <w:sz w:val="24"/>
          <w:szCs w:val="24"/>
          <w:lang w:val="en-US"/>
        </w:rPr>
        <w:t>Letters</w:t>
      </w:r>
      <w:r w:rsidR="00AE78A2">
        <w:rPr>
          <w:rFonts w:ascii="Times New Roman" w:hAnsi="Times New Roman"/>
          <w:i/>
          <w:color w:val="000000"/>
          <w:sz w:val="24"/>
          <w:szCs w:val="24"/>
          <w:lang w:val="en-US"/>
        </w:rPr>
        <w:t xml:space="preserve">, </w:t>
      </w:r>
      <w:r w:rsidR="00AE78A2">
        <w:rPr>
          <w:rFonts w:ascii="Times New Roman" w:hAnsi="Times New Roman"/>
          <w:color w:val="000000"/>
          <w:sz w:val="24"/>
          <w:szCs w:val="24"/>
          <w:lang w:val="en-US"/>
        </w:rPr>
        <w:t>Vol.</w:t>
      </w:r>
      <w:r>
        <w:rPr>
          <w:rFonts w:ascii="Times New Roman" w:hAnsi="Times New Roman"/>
          <w:color w:val="000000"/>
          <w:sz w:val="24"/>
          <w:szCs w:val="24"/>
          <w:lang w:val="en-US"/>
        </w:rPr>
        <w:t xml:space="preserve"> </w:t>
      </w:r>
      <w:r w:rsidRPr="005B3A08">
        <w:rPr>
          <w:rFonts w:ascii="Times New Roman" w:hAnsi="Times New Roman"/>
          <w:color w:val="000000"/>
          <w:sz w:val="24"/>
          <w:szCs w:val="24"/>
          <w:lang w:val="en-US"/>
        </w:rPr>
        <w:t xml:space="preserve">80, </w:t>
      </w:r>
      <w:r w:rsidR="00AE78A2">
        <w:rPr>
          <w:rFonts w:ascii="Times New Roman" w:hAnsi="Times New Roman"/>
          <w:color w:val="000000"/>
          <w:sz w:val="24"/>
          <w:szCs w:val="24"/>
          <w:lang w:val="en-US"/>
        </w:rPr>
        <w:t xml:space="preserve">pp. </w:t>
      </w:r>
      <w:r w:rsidRPr="005B3A08">
        <w:rPr>
          <w:rFonts w:ascii="Times New Roman" w:hAnsi="Times New Roman"/>
          <w:color w:val="000000"/>
          <w:sz w:val="24"/>
          <w:szCs w:val="24"/>
          <w:lang w:val="en-US"/>
        </w:rPr>
        <w:t>123–129.</w:t>
      </w:r>
    </w:p>
    <w:p w:rsidR="0025547F" w:rsidRPr="00BE0AE7" w:rsidRDefault="0025547F" w:rsidP="00BE0AE7">
      <w:pPr>
        <w:spacing w:before="100" w:beforeAutospacing="1" w:after="100" w:afterAutospacing="1" w:line="240" w:lineRule="auto"/>
        <w:jc w:val="both"/>
        <w:rPr>
          <w:rFonts w:ascii="Times New Roman" w:hAnsi="Times New Roman"/>
          <w:i/>
          <w:color w:val="000000"/>
          <w:sz w:val="24"/>
          <w:szCs w:val="24"/>
          <w:lang w:val="en-US"/>
        </w:rPr>
      </w:pPr>
      <w:r>
        <w:rPr>
          <w:rFonts w:ascii="Times New Roman" w:hAnsi="Times New Roman"/>
          <w:color w:val="000000"/>
          <w:sz w:val="24"/>
          <w:szCs w:val="24"/>
          <w:lang w:val="en-US"/>
        </w:rPr>
        <w:t>Anagol, S., S. Cole, and L. Litvine, 2013, “Overcoming Sub-Optimal Consumer Financial Decisions Using Behavioral ‘Nudges’: Experiments on the Life Insurance Purchase Decisions of Indian and US Workers”, Research Paper, Microinsurance Innovation Facility, International Labour Office, Geneva.</w:t>
      </w:r>
    </w:p>
    <w:p w:rsidR="00B71B3E" w:rsidRDefault="00B71B3E" w:rsidP="00B71B3E">
      <w:pPr>
        <w:spacing w:before="100" w:beforeAutospacing="1" w:after="100" w:afterAutospacing="1" w:line="240" w:lineRule="auto"/>
        <w:jc w:val="both"/>
        <w:rPr>
          <w:rFonts w:ascii="Times New Roman" w:hAnsi="Times New Roman"/>
          <w:sz w:val="24"/>
          <w:szCs w:val="24"/>
          <w:lang w:val="en-US"/>
        </w:rPr>
      </w:pPr>
      <w:r w:rsidRPr="007E1CEC">
        <w:rPr>
          <w:rFonts w:ascii="Times New Roman" w:hAnsi="Times New Roman"/>
          <w:sz w:val="24"/>
          <w:szCs w:val="24"/>
          <w:lang w:val="en-US"/>
        </w:rPr>
        <w:t>Basaza R., B. Criel, and P</w:t>
      </w:r>
      <w:r>
        <w:rPr>
          <w:rFonts w:ascii="Times New Roman" w:hAnsi="Times New Roman"/>
          <w:sz w:val="24"/>
          <w:szCs w:val="24"/>
          <w:lang w:val="en-US"/>
        </w:rPr>
        <w:t>. Van der Stuyft</w:t>
      </w:r>
      <w:r w:rsidRPr="007E1CEC">
        <w:rPr>
          <w:rFonts w:ascii="Times New Roman" w:hAnsi="Times New Roman"/>
          <w:sz w:val="24"/>
          <w:szCs w:val="24"/>
          <w:lang w:val="en-US"/>
        </w:rPr>
        <w:t xml:space="preserve">, 2008. </w:t>
      </w:r>
      <w:r>
        <w:rPr>
          <w:rFonts w:ascii="Times New Roman" w:hAnsi="Times New Roman"/>
          <w:sz w:val="24"/>
          <w:szCs w:val="24"/>
          <w:lang w:val="en-US"/>
        </w:rPr>
        <w:t>“Community Health Insurance in Uganda: Why Does Enrolment Remain Low? A View from B</w:t>
      </w:r>
      <w:r w:rsidRPr="000A2581">
        <w:rPr>
          <w:rFonts w:ascii="Times New Roman" w:hAnsi="Times New Roman"/>
          <w:sz w:val="24"/>
          <w:szCs w:val="24"/>
          <w:lang w:val="en-US"/>
        </w:rPr>
        <w:t>eneath</w:t>
      </w:r>
      <w:r>
        <w:rPr>
          <w:rFonts w:ascii="Times New Roman" w:hAnsi="Times New Roman"/>
          <w:sz w:val="24"/>
          <w:szCs w:val="24"/>
          <w:lang w:val="en-US"/>
        </w:rPr>
        <w:t>”,</w:t>
      </w:r>
      <w:r w:rsidRPr="000A2581">
        <w:rPr>
          <w:rFonts w:ascii="Times New Roman" w:hAnsi="Times New Roman"/>
          <w:sz w:val="24"/>
          <w:szCs w:val="24"/>
          <w:lang w:val="en-US"/>
        </w:rPr>
        <w:t xml:space="preserve"> </w:t>
      </w:r>
      <w:r>
        <w:rPr>
          <w:rFonts w:ascii="Times New Roman" w:hAnsi="Times New Roman"/>
          <w:i/>
          <w:sz w:val="24"/>
          <w:szCs w:val="24"/>
          <w:lang w:val="en-US"/>
        </w:rPr>
        <w:t>Health Policy</w:t>
      </w:r>
      <w:r w:rsidR="00AE78A2">
        <w:rPr>
          <w:rFonts w:ascii="Times New Roman" w:hAnsi="Times New Roman"/>
          <w:i/>
          <w:sz w:val="24"/>
          <w:szCs w:val="24"/>
          <w:lang w:val="en-US"/>
        </w:rPr>
        <w:t xml:space="preserve">, </w:t>
      </w:r>
      <w:r w:rsidR="00AE78A2">
        <w:rPr>
          <w:rFonts w:ascii="Times New Roman" w:hAnsi="Times New Roman"/>
          <w:sz w:val="24"/>
          <w:szCs w:val="24"/>
          <w:lang w:val="en-US"/>
        </w:rPr>
        <w:t>Vol.</w:t>
      </w:r>
      <w:r w:rsidRPr="000A2581">
        <w:rPr>
          <w:rFonts w:ascii="Times New Roman" w:hAnsi="Times New Roman"/>
          <w:sz w:val="24"/>
          <w:szCs w:val="24"/>
          <w:lang w:val="en-US"/>
        </w:rPr>
        <w:t xml:space="preserve"> 87</w:t>
      </w:r>
      <w:r>
        <w:rPr>
          <w:rFonts w:ascii="Times New Roman" w:hAnsi="Times New Roman"/>
          <w:sz w:val="24"/>
          <w:szCs w:val="24"/>
          <w:lang w:val="en-US"/>
        </w:rPr>
        <w:t>,</w:t>
      </w:r>
      <w:r w:rsidRPr="000A2581">
        <w:rPr>
          <w:rFonts w:ascii="Times New Roman" w:hAnsi="Times New Roman"/>
          <w:sz w:val="24"/>
          <w:szCs w:val="24"/>
          <w:lang w:val="en-US"/>
        </w:rPr>
        <w:t xml:space="preserve"> </w:t>
      </w:r>
      <w:r w:rsidR="00AE78A2">
        <w:rPr>
          <w:rFonts w:ascii="Times New Roman" w:hAnsi="Times New Roman"/>
          <w:sz w:val="24"/>
          <w:szCs w:val="24"/>
          <w:lang w:val="en-US"/>
        </w:rPr>
        <w:t xml:space="preserve">pp. </w:t>
      </w:r>
      <w:r w:rsidRPr="000A2581">
        <w:rPr>
          <w:rFonts w:ascii="Times New Roman" w:hAnsi="Times New Roman"/>
          <w:sz w:val="24"/>
          <w:szCs w:val="24"/>
          <w:lang w:val="en-US"/>
        </w:rPr>
        <w:t>172-184</w:t>
      </w:r>
      <w:r>
        <w:rPr>
          <w:rFonts w:ascii="Times New Roman" w:hAnsi="Times New Roman"/>
          <w:sz w:val="24"/>
          <w:szCs w:val="24"/>
          <w:lang w:val="en-US"/>
        </w:rPr>
        <w:t>.</w:t>
      </w:r>
    </w:p>
    <w:p w:rsidR="00704C7A" w:rsidRPr="00704C7A" w:rsidRDefault="00704C7A" w:rsidP="00B71B3E">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US"/>
        </w:rPr>
        <w:t xml:space="preserve">Bell, D.E., 1985. “Disappointment in Decision Making Under Uncertainty”, </w:t>
      </w:r>
      <w:r>
        <w:rPr>
          <w:rFonts w:ascii="Times New Roman" w:hAnsi="Times New Roman"/>
          <w:i/>
          <w:sz w:val="24"/>
          <w:szCs w:val="24"/>
          <w:lang w:val="en-US"/>
        </w:rPr>
        <w:t>Operations Research</w:t>
      </w:r>
      <w:r>
        <w:rPr>
          <w:rFonts w:ascii="Times New Roman" w:hAnsi="Times New Roman"/>
          <w:sz w:val="24"/>
          <w:szCs w:val="24"/>
          <w:lang w:val="en-US"/>
        </w:rPr>
        <w:t>, Vol. 33, pp. 1-27.</w:t>
      </w:r>
    </w:p>
    <w:p w:rsidR="00B44DFA" w:rsidRPr="00B44DFA" w:rsidRDefault="00B44DFA" w:rsidP="00B71B3E">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US"/>
        </w:rPr>
        <w:t>Benartzi, S., and R. Thaler, 1995. “Myopic Loss Aversion and th</w:t>
      </w:r>
      <w:r>
        <w:rPr>
          <w:rFonts w:ascii="Times New Roman" w:hAnsi="Times New Roman"/>
          <w:sz w:val="24"/>
          <w:szCs w:val="24"/>
          <w:lang w:val="en-US"/>
        </w:rPr>
        <w:tab/>
        <w:t xml:space="preserve">e Equity Premium Puzzle”, </w:t>
      </w:r>
      <w:r>
        <w:rPr>
          <w:rFonts w:ascii="Times New Roman" w:hAnsi="Times New Roman"/>
          <w:i/>
          <w:sz w:val="24"/>
          <w:szCs w:val="24"/>
          <w:lang w:val="en-US"/>
        </w:rPr>
        <w:t xml:space="preserve">Quarterly Journal of Economics, </w:t>
      </w:r>
      <w:r>
        <w:rPr>
          <w:rFonts w:ascii="Times New Roman" w:hAnsi="Times New Roman"/>
          <w:sz w:val="24"/>
          <w:szCs w:val="24"/>
          <w:lang w:val="en-US"/>
        </w:rPr>
        <w:t>Vol. 110, pp. 73-92.</w:t>
      </w:r>
    </w:p>
    <w:p w:rsidR="00E22BC2" w:rsidRDefault="00E22BC2" w:rsidP="00C34407">
      <w:pPr>
        <w:autoSpaceDE w:val="0"/>
        <w:autoSpaceDN w:val="0"/>
        <w:adjustRightInd w:val="0"/>
        <w:spacing w:after="0" w:line="240" w:lineRule="auto"/>
        <w:jc w:val="both"/>
        <w:rPr>
          <w:rFonts w:ascii="Times New Roman" w:hAnsi="Times New Roman"/>
          <w:bCs/>
          <w:sz w:val="24"/>
          <w:szCs w:val="24"/>
          <w:lang w:val="en-US" w:eastAsia="fr-FR"/>
        </w:rPr>
      </w:pPr>
      <w:r w:rsidRPr="00E22BC2">
        <w:rPr>
          <w:rFonts w:ascii="Times New Roman" w:hAnsi="Times New Roman"/>
          <w:sz w:val="24"/>
          <w:szCs w:val="24"/>
          <w:lang w:val="en-US"/>
        </w:rPr>
        <w:t xml:space="preserve">Bonan, J., O. Dagnelie, P. Lemay-Boucher, and M. Tenikue, 2011, </w:t>
      </w:r>
      <w:r w:rsidR="00530E12">
        <w:rPr>
          <w:rFonts w:ascii="Times New Roman" w:hAnsi="Times New Roman"/>
          <w:sz w:val="24"/>
          <w:szCs w:val="24"/>
          <w:lang w:val="en-US"/>
        </w:rPr>
        <w:t>“T</w:t>
      </w:r>
      <w:r w:rsidRPr="00E22BC2">
        <w:rPr>
          <w:rFonts w:ascii="Times New Roman" w:hAnsi="Times New Roman"/>
          <w:bCs/>
          <w:sz w:val="24"/>
          <w:szCs w:val="24"/>
          <w:lang w:val="en-US" w:eastAsia="fr-FR"/>
        </w:rPr>
        <w:t>he Impact of Insurance Literacy and Marketing Treatments on the Demand for Health Microinsurance in Senegal</w:t>
      </w:r>
      <w:r w:rsidR="00530E12">
        <w:rPr>
          <w:rFonts w:ascii="Times New Roman" w:hAnsi="Times New Roman"/>
          <w:bCs/>
          <w:sz w:val="24"/>
          <w:szCs w:val="24"/>
          <w:lang w:val="en-US" w:eastAsia="fr-FR"/>
        </w:rPr>
        <w:t>: A Randomized Evaluation</w:t>
      </w:r>
      <w:r w:rsidRPr="00E22BC2">
        <w:rPr>
          <w:rFonts w:ascii="Times New Roman" w:hAnsi="Times New Roman"/>
          <w:bCs/>
          <w:sz w:val="24"/>
          <w:szCs w:val="24"/>
          <w:lang w:val="en-US" w:eastAsia="fr-FR"/>
        </w:rPr>
        <w:t>”</w:t>
      </w:r>
      <w:r>
        <w:rPr>
          <w:rFonts w:ascii="Times New Roman" w:hAnsi="Times New Roman"/>
          <w:bCs/>
          <w:sz w:val="24"/>
          <w:szCs w:val="24"/>
          <w:lang w:val="en-US" w:eastAsia="fr-FR"/>
        </w:rPr>
        <w:t xml:space="preserve">, </w:t>
      </w:r>
      <w:r w:rsidR="00C34407">
        <w:rPr>
          <w:rFonts w:ascii="Times New Roman" w:hAnsi="Times New Roman"/>
          <w:bCs/>
          <w:sz w:val="24"/>
          <w:szCs w:val="24"/>
          <w:lang w:val="en-US" w:eastAsia="fr-FR"/>
        </w:rPr>
        <w:t>Working Paper N° 2012-03,</w:t>
      </w:r>
      <w:r>
        <w:rPr>
          <w:rFonts w:ascii="Times New Roman" w:hAnsi="Times New Roman"/>
          <w:bCs/>
          <w:sz w:val="24"/>
          <w:szCs w:val="24"/>
          <w:lang w:val="en-US" w:eastAsia="fr-FR"/>
        </w:rPr>
        <w:t xml:space="preserve"> CEPS, Luxemburg.</w:t>
      </w:r>
    </w:p>
    <w:p w:rsidR="00EF2C09" w:rsidRDefault="00EF2C09" w:rsidP="00C34407">
      <w:pPr>
        <w:autoSpaceDE w:val="0"/>
        <w:autoSpaceDN w:val="0"/>
        <w:adjustRightInd w:val="0"/>
        <w:spacing w:after="0" w:line="240" w:lineRule="auto"/>
        <w:jc w:val="both"/>
        <w:rPr>
          <w:rFonts w:ascii="Times New Roman" w:hAnsi="Times New Roman"/>
          <w:bCs/>
          <w:sz w:val="24"/>
          <w:szCs w:val="24"/>
          <w:lang w:val="en-US" w:eastAsia="fr-FR"/>
        </w:rPr>
      </w:pPr>
    </w:p>
    <w:p w:rsidR="00EF2C09" w:rsidRPr="00EF2C09" w:rsidRDefault="00EF2C09" w:rsidP="00C34407">
      <w:pPr>
        <w:autoSpaceDE w:val="0"/>
        <w:autoSpaceDN w:val="0"/>
        <w:adjustRightInd w:val="0"/>
        <w:spacing w:after="0" w:line="240" w:lineRule="auto"/>
        <w:jc w:val="both"/>
        <w:rPr>
          <w:rFonts w:ascii="Times New Roman" w:hAnsi="Times New Roman"/>
          <w:b/>
          <w:bCs/>
          <w:sz w:val="24"/>
          <w:szCs w:val="24"/>
          <w:lang w:val="en-US" w:eastAsia="fr-FR"/>
        </w:rPr>
      </w:pPr>
      <w:r>
        <w:rPr>
          <w:rFonts w:ascii="Times New Roman" w:hAnsi="Times New Roman"/>
          <w:bCs/>
          <w:sz w:val="24"/>
          <w:szCs w:val="24"/>
          <w:lang w:val="en-US" w:eastAsia="fr-FR"/>
        </w:rPr>
        <w:t xml:space="preserve">Braun, M., and A. Muermann, 2004. </w:t>
      </w:r>
      <w:r>
        <w:rPr>
          <w:rFonts w:ascii="Times New Roman" w:hAnsi="Times New Roman"/>
          <w:sz w:val="24"/>
          <w:szCs w:val="24"/>
          <w:lang w:val="en-US"/>
        </w:rPr>
        <w:t xml:space="preserve">“The Impact of Regret on the Demand for Insurance”, </w:t>
      </w:r>
      <w:r>
        <w:rPr>
          <w:rFonts w:ascii="Times New Roman" w:hAnsi="Times New Roman"/>
          <w:i/>
          <w:sz w:val="24"/>
          <w:szCs w:val="24"/>
          <w:lang w:val="en-US"/>
        </w:rPr>
        <w:t>Journal of Risk and Insurance</w:t>
      </w:r>
      <w:r>
        <w:rPr>
          <w:rFonts w:ascii="Times New Roman" w:hAnsi="Times New Roman"/>
          <w:sz w:val="24"/>
          <w:szCs w:val="24"/>
          <w:lang w:val="en-US"/>
        </w:rPr>
        <w:t>, Vol. 71, pp. 737-767.</w:t>
      </w:r>
    </w:p>
    <w:p w:rsidR="00B71B3E" w:rsidRPr="00412ECA" w:rsidRDefault="00B71B3E" w:rsidP="00B71B3E">
      <w:pPr>
        <w:autoSpaceDE w:val="0"/>
        <w:autoSpaceDN w:val="0"/>
        <w:adjustRightInd w:val="0"/>
        <w:spacing w:before="100" w:beforeAutospacing="1" w:after="100" w:afterAutospacing="1" w:line="240" w:lineRule="auto"/>
        <w:jc w:val="both"/>
        <w:rPr>
          <w:rFonts w:ascii="Times New Roman" w:hAnsi="Times New Roman"/>
          <w:sz w:val="24"/>
          <w:szCs w:val="24"/>
          <w:lang w:val="en-US"/>
        </w:rPr>
      </w:pPr>
      <w:r w:rsidRPr="00412ECA">
        <w:rPr>
          <w:rFonts w:ascii="Times New Roman" w:hAnsi="Times New Roman"/>
          <w:sz w:val="24"/>
          <w:szCs w:val="24"/>
          <w:lang w:val="en-US"/>
        </w:rPr>
        <w:t xml:space="preserve">Bryan, G., </w:t>
      </w:r>
      <w:r w:rsidR="00F876DF" w:rsidRPr="00412ECA">
        <w:rPr>
          <w:rFonts w:ascii="Times New Roman" w:hAnsi="Times New Roman"/>
          <w:sz w:val="24"/>
          <w:szCs w:val="24"/>
          <w:lang w:val="en-US"/>
        </w:rPr>
        <w:t>2010. “Ambiguity and Insurance”,</w:t>
      </w:r>
      <w:r w:rsidRPr="00412ECA">
        <w:rPr>
          <w:rFonts w:ascii="Times New Roman" w:hAnsi="Times New Roman"/>
          <w:sz w:val="24"/>
          <w:szCs w:val="24"/>
          <w:lang w:val="en-US"/>
        </w:rPr>
        <w:t xml:space="preserve"> </w:t>
      </w:r>
      <w:r w:rsidR="00F876DF" w:rsidRPr="00412ECA">
        <w:rPr>
          <w:rFonts w:ascii="Times New Roman" w:hAnsi="Times New Roman"/>
          <w:sz w:val="24"/>
          <w:szCs w:val="24"/>
          <w:lang w:val="en-US"/>
        </w:rPr>
        <w:t>m</w:t>
      </w:r>
      <w:r w:rsidRPr="00412ECA">
        <w:rPr>
          <w:rFonts w:ascii="Times New Roman" w:hAnsi="Times New Roman"/>
          <w:sz w:val="24"/>
          <w:szCs w:val="24"/>
          <w:lang w:val="en-US"/>
        </w:rPr>
        <w:t>imeo</w:t>
      </w:r>
      <w:r w:rsidR="00412ECA">
        <w:rPr>
          <w:rFonts w:ascii="Times New Roman" w:hAnsi="Times New Roman"/>
          <w:sz w:val="24"/>
          <w:szCs w:val="24"/>
          <w:lang w:val="en-US"/>
        </w:rPr>
        <w:t>, London School of Economics</w:t>
      </w:r>
      <w:r w:rsidRPr="00412ECA">
        <w:rPr>
          <w:rFonts w:ascii="Times New Roman" w:hAnsi="Times New Roman"/>
          <w:sz w:val="24"/>
          <w:szCs w:val="24"/>
          <w:lang w:val="en-US"/>
        </w:rPr>
        <w:t xml:space="preserve">. </w:t>
      </w:r>
    </w:p>
    <w:p w:rsidR="00AE3810" w:rsidRPr="00AE3810" w:rsidRDefault="00AE3810" w:rsidP="00AE3810">
      <w:pPr>
        <w:autoSpaceDE w:val="0"/>
        <w:autoSpaceDN w:val="0"/>
        <w:adjustRightInd w:val="0"/>
        <w:spacing w:after="0" w:line="240" w:lineRule="auto"/>
        <w:jc w:val="both"/>
        <w:rPr>
          <w:rFonts w:ascii="Times New Roman" w:hAnsi="Times New Roman"/>
          <w:sz w:val="24"/>
          <w:szCs w:val="24"/>
          <w:lang w:val="en-US" w:eastAsia="fr-FR"/>
        </w:rPr>
      </w:pPr>
      <w:r w:rsidRPr="00AE3810">
        <w:rPr>
          <w:rFonts w:ascii="Times New Roman" w:hAnsi="Times New Roman"/>
          <w:sz w:val="24"/>
          <w:szCs w:val="24"/>
          <w:lang w:val="en-US" w:eastAsia="fr-FR"/>
        </w:rPr>
        <w:t>Cai, H., Y. Ch</w:t>
      </w:r>
      <w:r w:rsidR="0066279F">
        <w:rPr>
          <w:rFonts w:ascii="Times New Roman" w:hAnsi="Times New Roman"/>
          <w:sz w:val="24"/>
          <w:szCs w:val="24"/>
          <w:lang w:val="en-US" w:eastAsia="fr-FR"/>
        </w:rPr>
        <w:t xml:space="preserve">en, H. Fang &amp; Zhou, L., 2009, </w:t>
      </w:r>
      <w:r w:rsidR="0066279F">
        <w:rPr>
          <w:rFonts w:ascii="Times New Roman" w:hAnsi="Times New Roman"/>
          <w:sz w:val="24"/>
          <w:szCs w:val="24"/>
          <w:lang w:val="en-US"/>
        </w:rPr>
        <w:t>“</w:t>
      </w:r>
      <w:r w:rsidRPr="00AE3810">
        <w:rPr>
          <w:rFonts w:ascii="Times New Roman" w:hAnsi="Times New Roman"/>
          <w:sz w:val="24"/>
          <w:szCs w:val="24"/>
          <w:lang w:val="en-US" w:eastAsia="fr-FR"/>
        </w:rPr>
        <w:t>Microinsurance, Trust and Economic</w:t>
      </w:r>
      <w:r>
        <w:rPr>
          <w:rFonts w:ascii="Times New Roman" w:hAnsi="Times New Roman"/>
          <w:sz w:val="24"/>
          <w:szCs w:val="24"/>
          <w:lang w:val="en-US" w:eastAsia="fr-FR"/>
        </w:rPr>
        <w:t xml:space="preserve"> </w:t>
      </w:r>
      <w:r w:rsidRPr="00AE3810">
        <w:rPr>
          <w:rFonts w:ascii="Times New Roman" w:hAnsi="Times New Roman"/>
          <w:sz w:val="24"/>
          <w:szCs w:val="24"/>
          <w:lang w:val="en-US" w:eastAsia="fr-FR"/>
        </w:rPr>
        <w:t>Development: Evidence from a Rand</w:t>
      </w:r>
      <w:r>
        <w:rPr>
          <w:rFonts w:ascii="Times New Roman" w:hAnsi="Times New Roman"/>
          <w:sz w:val="24"/>
          <w:szCs w:val="24"/>
          <w:lang w:val="en-US" w:eastAsia="fr-FR"/>
        </w:rPr>
        <w:t>omized Natural Field Experiment”,</w:t>
      </w:r>
      <w:r w:rsidRPr="00AE3810">
        <w:rPr>
          <w:rFonts w:ascii="Times New Roman" w:hAnsi="Times New Roman"/>
          <w:sz w:val="24"/>
          <w:szCs w:val="24"/>
          <w:lang w:val="en-US" w:eastAsia="fr-FR"/>
        </w:rPr>
        <w:t xml:space="preserve"> NBER Working Paper</w:t>
      </w:r>
      <w:r>
        <w:rPr>
          <w:rFonts w:ascii="Times New Roman" w:hAnsi="Times New Roman"/>
          <w:sz w:val="24"/>
          <w:szCs w:val="24"/>
          <w:lang w:val="en-US" w:eastAsia="fr-FR"/>
        </w:rPr>
        <w:t xml:space="preserve"> </w:t>
      </w:r>
      <w:r w:rsidRPr="00AE3810">
        <w:rPr>
          <w:rFonts w:ascii="Times New Roman" w:hAnsi="Times New Roman"/>
          <w:sz w:val="24"/>
          <w:szCs w:val="24"/>
          <w:lang w:val="en-US" w:eastAsia="fr-FR"/>
        </w:rPr>
        <w:t>No. 15396.</w:t>
      </w:r>
    </w:p>
    <w:p w:rsidR="00B71B3E" w:rsidRDefault="00B71B3E" w:rsidP="00B71B3E">
      <w:pPr>
        <w:spacing w:before="100" w:beforeAutospacing="1" w:after="100" w:afterAutospacing="1" w:line="240" w:lineRule="auto"/>
        <w:jc w:val="both"/>
        <w:rPr>
          <w:rFonts w:ascii="Times New Roman" w:hAnsi="Times New Roman"/>
          <w:color w:val="000000"/>
          <w:sz w:val="24"/>
          <w:szCs w:val="24"/>
          <w:lang w:val="en-US"/>
        </w:rPr>
      </w:pPr>
      <w:r w:rsidRPr="00DD2550">
        <w:rPr>
          <w:rFonts w:ascii="Times New Roman" w:hAnsi="Times New Roman"/>
          <w:sz w:val="24"/>
          <w:szCs w:val="24"/>
          <w:lang w:val="fr-FR"/>
        </w:rPr>
        <w:t xml:space="preserve">Cai, J., A. de Janvry, A., and E. Sadoulet, 2011. </w:t>
      </w:r>
      <w:r w:rsidR="0066279F">
        <w:rPr>
          <w:rFonts w:ascii="Times New Roman" w:hAnsi="Times New Roman"/>
          <w:sz w:val="24"/>
          <w:szCs w:val="24"/>
          <w:lang w:val="en-US"/>
        </w:rPr>
        <w:t>“</w:t>
      </w:r>
      <w:r w:rsidRPr="007E1CEC">
        <w:rPr>
          <w:rFonts w:ascii="Times New Roman" w:hAnsi="Times New Roman"/>
          <w:sz w:val="24"/>
          <w:szCs w:val="24"/>
          <w:lang w:val="en-US"/>
        </w:rPr>
        <w:t>Social Networks and Insurance Take-up: Evidence from a Randomized Experiment in China”, ILO Microinsurance Innovation Facility Research Paper, Geneva</w:t>
      </w:r>
      <w:r w:rsidRPr="007E1CEC">
        <w:rPr>
          <w:rFonts w:ascii="Times New Roman" w:hAnsi="Times New Roman"/>
          <w:color w:val="000000"/>
          <w:sz w:val="24"/>
          <w:szCs w:val="24"/>
          <w:lang w:val="en-US"/>
        </w:rPr>
        <w:t>.</w:t>
      </w:r>
    </w:p>
    <w:p w:rsidR="00780DEB" w:rsidRDefault="00780DEB" w:rsidP="00B71B3E">
      <w:pPr>
        <w:spacing w:before="100" w:beforeAutospacing="1" w:after="100" w:afterAutospacing="1"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Carlin, B., 2009, “Strategic Price Complexity in Retail Financial Markets”, </w:t>
      </w:r>
      <w:r>
        <w:rPr>
          <w:rFonts w:ascii="Times New Roman" w:hAnsi="Times New Roman"/>
          <w:i/>
          <w:color w:val="000000"/>
          <w:sz w:val="24"/>
          <w:szCs w:val="24"/>
          <w:lang w:val="en-US"/>
        </w:rPr>
        <w:t xml:space="preserve">Journal of Financial Economics, </w:t>
      </w:r>
      <w:r>
        <w:rPr>
          <w:rFonts w:ascii="Times New Roman" w:hAnsi="Times New Roman"/>
          <w:color w:val="000000"/>
          <w:sz w:val="24"/>
          <w:szCs w:val="24"/>
          <w:lang w:val="en-US"/>
        </w:rPr>
        <w:t>Vol. 91, pp. 278-287.</w:t>
      </w:r>
    </w:p>
    <w:p w:rsidR="0066279F" w:rsidRDefault="0066279F" w:rsidP="00B71B3E">
      <w:pPr>
        <w:spacing w:before="100" w:beforeAutospacing="1" w:after="100" w:afterAutospacing="1" w:line="240" w:lineRule="auto"/>
        <w:jc w:val="both"/>
        <w:rPr>
          <w:rFonts w:ascii="Times New Roman" w:hAnsi="Times New Roman"/>
          <w:sz w:val="24"/>
          <w:szCs w:val="24"/>
          <w:lang w:val="en-US"/>
        </w:rPr>
      </w:pPr>
      <w:r w:rsidRPr="0066279F">
        <w:rPr>
          <w:rFonts w:ascii="Times New Roman" w:hAnsi="Times New Roman"/>
          <w:color w:val="000000"/>
          <w:sz w:val="24"/>
          <w:szCs w:val="24"/>
          <w:lang w:val="en-US"/>
        </w:rPr>
        <w:t>Carter, M.R., C.B. Barrett, S. Boucher, S. Chantarat, F. Galarza, J. McPeak,</w:t>
      </w:r>
      <w:r w:rsidR="001C2CB4">
        <w:rPr>
          <w:rFonts w:ascii="Times New Roman" w:hAnsi="Times New Roman"/>
          <w:color w:val="000000"/>
          <w:sz w:val="24"/>
          <w:szCs w:val="24"/>
          <w:lang w:val="en-US"/>
        </w:rPr>
        <w:t xml:space="preserve"> A. Mude, and C. Trivelli, 2008.</w:t>
      </w:r>
      <w:r w:rsidRPr="0066279F">
        <w:rPr>
          <w:rFonts w:ascii="Times New Roman" w:hAnsi="Times New Roman"/>
          <w:color w:val="000000"/>
          <w:sz w:val="24"/>
          <w:szCs w:val="24"/>
          <w:lang w:val="en-US"/>
        </w:rPr>
        <w:t xml:space="preserve"> </w:t>
      </w:r>
      <w:r>
        <w:rPr>
          <w:rFonts w:ascii="Times New Roman" w:hAnsi="Times New Roman"/>
          <w:sz w:val="24"/>
          <w:szCs w:val="24"/>
          <w:lang w:val="en-US"/>
        </w:rPr>
        <w:t>“</w:t>
      </w:r>
      <w:r w:rsidRPr="0066279F">
        <w:rPr>
          <w:rFonts w:ascii="Times New Roman" w:hAnsi="Times New Roman"/>
          <w:color w:val="000000"/>
          <w:sz w:val="24"/>
          <w:szCs w:val="24"/>
          <w:lang w:val="en-US"/>
        </w:rPr>
        <w:t> Insuring the Never Before Insured: Explaining Index Insuran</w:t>
      </w:r>
      <w:r>
        <w:rPr>
          <w:rFonts w:ascii="Times New Roman" w:hAnsi="Times New Roman"/>
          <w:color w:val="000000"/>
          <w:sz w:val="24"/>
          <w:szCs w:val="24"/>
          <w:lang w:val="en-US"/>
        </w:rPr>
        <w:t>ce Through Financial Education G</w:t>
      </w:r>
      <w:r w:rsidRPr="0066279F">
        <w:rPr>
          <w:rFonts w:ascii="Times New Roman" w:hAnsi="Times New Roman"/>
          <w:color w:val="000000"/>
          <w:sz w:val="24"/>
          <w:szCs w:val="24"/>
          <w:lang w:val="en-US"/>
        </w:rPr>
        <w:t>ames</w:t>
      </w:r>
      <w:r>
        <w:rPr>
          <w:rFonts w:ascii="Times New Roman" w:hAnsi="Times New Roman"/>
          <w:sz w:val="24"/>
          <w:szCs w:val="24"/>
          <w:lang w:val="en-US"/>
        </w:rPr>
        <w:t xml:space="preserve">”, </w:t>
      </w:r>
      <w:r>
        <w:rPr>
          <w:rFonts w:ascii="Times New Roman" w:hAnsi="Times New Roman"/>
          <w:i/>
          <w:sz w:val="24"/>
          <w:szCs w:val="24"/>
          <w:lang w:val="en-US"/>
        </w:rPr>
        <w:t>Basis Brief</w:t>
      </w:r>
      <w:r>
        <w:rPr>
          <w:rFonts w:ascii="Times New Roman" w:hAnsi="Times New Roman"/>
          <w:sz w:val="24"/>
          <w:szCs w:val="24"/>
          <w:lang w:val="en-US"/>
        </w:rPr>
        <w:t>, October, pp. 1-8.</w:t>
      </w:r>
    </w:p>
    <w:p w:rsidR="00B172A0" w:rsidRDefault="00B172A0" w:rsidP="007305E7">
      <w:pPr>
        <w:autoSpaceDE w:val="0"/>
        <w:autoSpaceDN w:val="0"/>
        <w:adjustRightInd w:val="0"/>
        <w:spacing w:after="0" w:line="240" w:lineRule="auto"/>
        <w:jc w:val="both"/>
        <w:rPr>
          <w:rFonts w:ascii="Times New Roman" w:hAnsi="Times New Roman"/>
          <w:sz w:val="24"/>
          <w:szCs w:val="24"/>
          <w:lang w:val="en-US" w:eastAsia="fr-FR"/>
        </w:rPr>
      </w:pPr>
      <w:r w:rsidRPr="00B172A0">
        <w:rPr>
          <w:rFonts w:ascii="Times New Roman" w:hAnsi="Times New Roman"/>
          <w:sz w:val="24"/>
          <w:szCs w:val="24"/>
          <w:lang w:val="en-US" w:eastAsia="fr-FR"/>
        </w:rPr>
        <w:t xml:space="preserve">Chankova, S., </w:t>
      </w:r>
      <w:r>
        <w:rPr>
          <w:rFonts w:ascii="Times New Roman" w:hAnsi="Times New Roman"/>
          <w:sz w:val="24"/>
          <w:szCs w:val="24"/>
          <w:lang w:val="en-US" w:eastAsia="fr-FR"/>
        </w:rPr>
        <w:t>S. Sulzbach, and F. Diop, 2008,</w:t>
      </w:r>
      <w:r w:rsidRPr="00B172A0">
        <w:rPr>
          <w:rFonts w:ascii="Times New Roman" w:hAnsi="Times New Roman"/>
          <w:sz w:val="24"/>
          <w:szCs w:val="24"/>
          <w:lang w:val="en-US" w:eastAsia="fr-FR"/>
        </w:rPr>
        <w:t xml:space="preserve"> </w:t>
      </w:r>
      <w:r>
        <w:rPr>
          <w:rFonts w:ascii="Times New Roman" w:hAnsi="Times New Roman"/>
          <w:sz w:val="24"/>
          <w:szCs w:val="24"/>
          <w:lang w:val="en-US" w:eastAsia="fr-FR"/>
        </w:rPr>
        <w:t>“</w:t>
      </w:r>
      <w:r w:rsidRPr="00B172A0">
        <w:rPr>
          <w:rFonts w:ascii="Times New Roman" w:hAnsi="Times New Roman"/>
          <w:sz w:val="24"/>
          <w:szCs w:val="24"/>
          <w:lang w:val="en-US" w:eastAsia="fr-FR"/>
        </w:rPr>
        <w:t xml:space="preserve">Impact </w:t>
      </w:r>
      <w:r>
        <w:rPr>
          <w:rFonts w:ascii="Times New Roman" w:hAnsi="Times New Roman"/>
          <w:sz w:val="24"/>
          <w:szCs w:val="24"/>
          <w:lang w:val="en-US" w:eastAsia="fr-FR"/>
        </w:rPr>
        <w:t xml:space="preserve">of Mutual Health Organizations: </w:t>
      </w:r>
      <w:r w:rsidRPr="00B172A0">
        <w:rPr>
          <w:rFonts w:ascii="Times New Roman" w:hAnsi="Times New Roman"/>
          <w:sz w:val="24"/>
          <w:szCs w:val="24"/>
          <w:lang w:val="en-US" w:eastAsia="fr-FR"/>
        </w:rPr>
        <w:t>Evidence</w:t>
      </w:r>
      <w:r>
        <w:rPr>
          <w:rFonts w:ascii="Times New Roman" w:hAnsi="Times New Roman"/>
          <w:sz w:val="24"/>
          <w:szCs w:val="24"/>
          <w:lang w:val="en-US" w:eastAsia="fr-FR"/>
        </w:rPr>
        <w:t xml:space="preserve"> from West Africa”,</w:t>
      </w:r>
      <w:r w:rsidRPr="00B172A0">
        <w:rPr>
          <w:rFonts w:ascii="Times New Roman" w:hAnsi="Times New Roman"/>
          <w:sz w:val="24"/>
          <w:szCs w:val="24"/>
          <w:lang w:val="en-US" w:eastAsia="fr-FR"/>
        </w:rPr>
        <w:t xml:space="preserve"> </w:t>
      </w:r>
      <w:r w:rsidRPr="00B172A0">
        <w:rPr>
          <w:rFonts w:ascii="Times New Roman" w:hAnsi="Times New Roman"/>
          <w:i/>
          <w:iCs/>
          <w:sz w:val="24"/>
          <w:szCs w:val="24"/>
          <w:lang w:val="en-US" w:eastAsia="fr-FR"/>
        </w:rPr>
        <w:t>Health Policy and Planning</w:t>
      </w:r>
      <w:r w:rsidRPr="00B172A0">
        <w:rPr>
          <w:rFonts w:ascii="Times New Roman" w:hAnsi="Times New Roman"/>
          <w:sz w:val="24"/>
          <w:szCs w:val="24"/>
          <w:lang w:val="en-US" w:eastAsia="fr-FR"/>
        </w:rPr>
        <w:t xml:space="preserve">, </w:t>
      </w:r>
      <w:r>
        <w:rPr>
          <w:rFonts w:ascii="Times New Roman" w:hAnsi="Times New Roman"/>
          <w:sz w:val="24"/>
          <w:szCs w:val="24"/>
          <w:lang w:val="en-US" w:eastAsia="fr-FR"/>
        </w:rPr>
        <w:t xml:space="preserve">Vol. </w:t>
      </w:r>
      <w:r w:rsidRPr="00B172A0">
        <w:rPr>
          <w:rFonts w:ascii="Times New Roman" w:hAnsi="Times New Roman"/>
          <w:iCs/>
          <w:sz w:val="24"/>
          <w:szCs w:val="24"/>
          <w:lang w:val="en-US" w:eastAsia="fr-FR"/>
        </w:rPr>
        <w:t>23</w:t>
      </w:r>
      <w:r>
        <w:rPr>
          <w:rFonts w:ascii="Times New Roman" w:hAnsi="Times New Roman"/>
          <w:sz w:val="24"/>
          <w:szCs w:val="24"/>
          <w:lang w:val="en-US" w:eastAsia="fr-FR"/>
        </w:rPr>
        <w:t>, N°4</w:t>
      </w:r>
      <w:r w:rsidRPr="00B172A0">
        <w:rPr>
          <w:rFonts w:ascii="Times New Roman" w:hAnsi="Times New Roman"/>
          <w:sz w:val="24"/>
          <w:szCs w:val="24"/>
          <w:lang w:val="en-US" w:eastAsia="fr-FR"/>
        </w:rPr>
        <w:t xml:space="preserve">, </w:t>
      </w:r>
      <w:r>
        <w:rPr>
          <w:rFonts w:ascii="Times New Roman" w:hAnsi="Times New Roman"/>
          <w:sz w:val="24"/>
          <w:szCs w:val="24"/>
          <w:lang w:val="en-US" w:eastAsia="fr-FR"/>
        </w:rPr>
        <w:t xml:space="preserve">pp. </w:t>
      </w:r>
      <w:r w:rsidRPr="00B172A0">
        <w:rPr>
          <w:rFonts w:ascii="Times New Roman" w:hAnsi="Times New Roman"/>
          <w:sz w:val="24"/>
          <w:szCs w:val="24"/>
          <w:lang w:val="en-US" w:eastAsia="fr-FR"/>
        </w:rPr>
        <w:t>264-276.</w:t>
      </w:r>
    </w:p>
    <w:p w:rsidR="00F876DF" w:rsidRDefault="00F876DF" w:rsidP="007305E7">
      <w:pPr>
        <w:autoSpaceDE w:val="0"/>
        <w:autoSpaceDN w:val="0"/>
        <w:adjustRightInd w:val="0"/>
        <w:spacing w:after="0" w:line="240" w:lineRule="auto"/>
        <w:jc w:val="both"/>
        <w:rPr>
          <w:rFonts w:ascii="Times New Roman" w:hAnsi="Times New Roman"/>
          <w:sz w:val="24"/>
          <w:szCs w:val="24"/>
          <w:lang w:val="en-US" w:eastAsia="fr-FR"/>
        </w:rPr>
      </w:pPr>
    </w:p>
    <w:p w:rsidR="00F876DF" w:rsidRPr="00F876DF" w:rsidRDefault="00F876DF" w:rsidP="00190F12">
      <w:pPr>
        <w:autoSpaceDE w:val="0"/>
        <w:autoSpaceDN w:val="0"/>
        <w:adjustRightInd w:val="0"/>
        <w:spacing w:after="0" w:line="240" w:lineRule="auto"/>
        <w:jc w:val="both"/>
        <w:rPr>
          <w:rFonts w:ascii="Times New Roman" w:hAnsi="Times New Roman"/>
          <w:sz w:val="24"/>
          <w:szCs w:val="24"/>
          <w:lang w:val="en-US" w:eastAsia="fr-FR"/>
        </w:rPr>
      </w:pPr>
      <w:r w:rsidRPr="00433806">
        <w:rPr>
          <w:rFonts w:ascii="Times New Roman" w:hAnsi="Times New Roman"/>
          <w:sz w:val="24"/>
          <w:szCs w:val="24"/>
          <w:lang w:val="en-US" w:eastAsia="fr-FR"/>
        </w:rPr>
        <w:t xml:space="preserve">Cole, S., X. Giné, J. Tobacman, P. Topalova, R. Townsend, and J. Vickery, </w:t>
      </w:r>
      <w:r w:rsidR="00433806" w:rsidRPr="00433806">
        <w:rPr>
          <w:rFonts w:ascii="Times New Roman" w:hAnsi="Times New Roman"/>
          <w:sz w:val="24"/>
          <w:szCs w:val="24"/>
          <w:lang w:val="en-US" w:eastAsia="fr-FR"/>
        </w:rPr>
        <w:t>2011</w:t>
      </w:r>
      <w:r w:rsidRPr="00433806">
        <w:rPr>
          <w:rFonts w:ascii="Times New Roman" w:hAnsi="Times New Roman"/>
          <w:sz w:val="24"/>
          <w:szCs w:val="24"/>
          <w:lang w:val="en-US" w:eastAsia="fr-FR"/>
        </w:rPr>
        <w:t>,</w:t>
      </w:r>
      <w:r w:rsidR="00190F12" w:rsidRPr="00433806">
        <w:rPr>
          <w:rFonts w:ascii="Times New Roman" w:hAnsi="Times New Roman"/>
          <w:sz w:val="24"/>
          <w:szCs w:val="24"/>
          <w:lang w:val="en-US" w:eastAsia="fr-FR"/>
        </w:rPr>
        <w:t xml:space="preserve"> </w:t>
      </w:r>
      <w:r>
        <w:rPr>
          <w:rFonts w:ascii="Times New Roman" w:hAnsi="Times New Roman"/>
          <w:sz w:val="24"/>
          <w:szCs w:val="24"/>
          <w:lang w:val="en-US" w:eastAsia="fr-FR"/>
        </w:rPr>
        <w:t>“</w:t>
      </w:r>
      <w:r w:rsidRPr="00F876DF">
        <w:rPr>
          <w:rFonts w:ascii="Times New Roman" w:hAnsi="Times New Roman"/>
          <w:sz w:val="24"/>
          <w:szCs w:val="24"/>
          <w:lang w:val="en-US" w:eastAsia="fr-FR"/>
        </w:rPr>
        <w:t>Barriers to</w:t>
      </w:r>
      <w:r w:rsidR="00190F12">
        <w:rPr>
          <w:rFonts w:ascii="Times New Roman" w:hAnsi="Times New Roman"/>
          <w:sz w:val="24"/>
          <w:szCs w:val="24"/>
          <w:lang w:val="en-US" w:eastAsia="fr-FR"/>
        </w:rPr>
        <w:t xml:space="preserve"> </w:t>
      </w:r>
      <w:r w:rsidRPr="00F876DF">
        <w:rPr>
          <w:rFonts w:ascii="Times New Roman" w:hAnsi="Times New Roman"/>
          <w:sz w:val="24"/>
          <w:szCs w:val="24"/>
          <w:lang w:val="en-US" w:eastAsia="fr-FR"/>
        </w:rPr>
        <w:t xml:space="preserve">Household Risk </w:t>
      </w:r>
      <w:r>
        <w:rPr>
          <w:rFonts w:ascii="Times New Roman" w:hAnsi="Times New Roman"/>
          <w:sz w:val="24"/>
          <w:szCs w:val="24"/>
          <w:lang w:val="en-US" w:eastAsia="fr-FR"/>
        </w:rPr>
        <w:t>Management: Evidence from India”,</w:t>
      </w:r>
      <w:r w:rsidRPr="00F876DF">
        <w:rPr>
          <w:rFonts w:ascii="Times New Roman" w:hAnsi="Times New Roman"/>
          <w:sz w:val="24"/>
          <w:szCs w:val="24"/>
          <w:lang w:val="en-US" w:eastAsia="fr-FR"/>
        </w:rPr>
        <w:t xml:space="preserve"> Mimeo</w:t>
      </w:r>
      <w:r>
        <w:rPr>
          <w:rFonts w:ascii="Times New Roman" w:hAnsi="Times New Roman"/>
          <w:sz w:val="24"/>
          <w:szCs w:val="24"/>
          <w:lang w:val="en-US" w:eastAsia="fr-FR"/>
        </w:rPr>
        <w:t>,</w:t>
      </w:r>
      <w:r w:rsidRPr="00F876DF">
        <w:rPr>
          <w:rFonts w:ascii="Times New Roman" w:hAnsi="Times New Roman"/>
          <w:sz w:val="24"/>
          <w:szCs w:val="24"/>
          <w:lang w:val="en-US" w:eastAsia="fr-FR"/>
        </w:rPr>
        <w:t xml:space="preserve"> Harvard Business School.</w:t>
      </w:r>
    </w:p>
    <w:p w:rsidR="00B71B3E" w:rsidRDefault="00B71B3E" w:rsidP="00B71B3E">
      <w:pPr>
        <w:spacing w:before="100" w:beforeAutospacing="1" w:after="100" w:afterAutospacing="1" w:line="240" w:lineRule="auto"/>
        <w:jc w:val="both"/>
        <w:rPr>
          <w:rFonts w:ascii="Times New Roman" w:hAnsi="Times New Roman"/>
          <w:color w:val="000000"/>
          <w:sz w:val="24"/>
          <w:szCs w:val="24"/>
          <w:lang w:val="en-US"/>
        </w:rPr>
      </w:pPr>
      <w:r w:rsidRPr="007E1CEC">
        <w:rPr>
          <w:rFonts w:ascii="Times New Roman" w:hAnsi="Times New Roman"/>
          <w:sz w:val="24"/>
          <w:szCs w:val="24"/>
          <w:lang w:val="en-US"/>
        </w:rPr>
        <w:t xml:space="preserve">De Bock, O., and W. Gelade, 2012. “The Demand for </w:t>
      </w:r>
      <w:r w:rsidR="00974D6A">
        <w:rPr>
          <w:rFonts w:ascii="Times New Roman" w:hAnsi="Times New Roman"/>
          <w:sz w:val="24"/>
          <w:szCs w:val="24"/>
          <w:lang w:val="en-US"/>
        </w:rPr>
        <w:t>Microinsurance</w:t>
      </w:r>
      <w:r w:rsidRPr="007E1CEC">
        <w:rPr>
          <w:rFonts w:ascii="Times New Roman" w:hAnsi="Times New Roman"/>
          <w:sz w:val="24"/>
          <w:szCs w:val="24"/>
          <w:lang w:val="en-US"/>
        </w:rPr>
        <w:t>: A Literature Review”, ILO Microinsurance Innovation Facility Research Paper, Geneva</w:t>
      </w:r>
      <w:r w:rsidRPr="007E1CEC">
        <w:rPr>
          <w:rFonts w:ascii="Times New Roman" w:hAnsi="Times New Roman"/>
          <w:color w:val="000000"/>
          <w:sz w:val="24"/>
          <w:szCs w:val="24"/>
          <w:lang w:val="en-US"/>
        </w:rPr>
        <w:t>.</w:t>
      </w:r>
    </w:p>
    <w:p w:rsidR="009468BF" w:rsidRPr="009468BF" w:rsidRDefault="009468BF" w:rsidP="00B71B3E">
      <w:pPr>
        <w:spacing w:before="100" w:beforeAutospacing="1" w:after="100" w:afterAutospacing="1"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Dercon, S. and J. Hoddinott, 2004, “Health, Shocks, and Poverty Persistence”. In: Dercon (Ed.), </w:t>
      </w:r>
      <w:r>
        <w:rPr>
          <w:rFonts w:ascii="Times New Roman" w:hAnsi="Times New Roman"/>
          <w:i/>
          <w:color w:val="000000"/>
          <w:sz w:val="24"/>
          <w:szCs w:val="24"/>
          <w:lang w:val="en-US"/>
        </w:rPr>
        <w:t xml:space="preserve">Insurance against Poverty, </w:t>
      </w:r>
      <w:r>
        <w:rPr>
          <w:rFonts w:ascii="Times New Roman" w:hAnsi="Times New Roman"/>
          <w:color w:val="000000"/>
          <w:sz w:val="24"/>
          <w:szCs w:val="24"/>
          <w:lang w:val="en-US"/>
        </w:rPr>
        <w:t xml:space="preserve">Oxford University Press, pp. 124-136. </w:t>
      </w:r>
    </w:p>
    <w:p w:rsidR="00443DF5" w:rsidRPr="007E1CEC" w:rsidRDefault="00443DF5" w:rsidP="00B71B3E">
      <w:pPr>
        <w:spacing w:before="100" w:beforeAutospacing="1" w:after="100" w:afterAutospacing="1"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Dercon, S., J.W. Gunning, A. Zeitlin, C. Cerrone, and S. Lombardini, 2012, “Health Insurance Participation: Experimental Evidence from Kenya”, Research Paper N° 10, Microinsurance Innovation Facility, International Labour Office, Geneva.</w:t>
      </w:r>
    </w:p>
    <w:p w:rsidR="00B71B3E" w:rsidRDefault="00817321" w:rsidP="00B71B3E">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GB"/>
        </w:rPr>
        <w:t>Dong, H., M.</w:t>
      </w:r>
      <w:r w:rsidR="00C858B3" w:rsidRPr="00C858B3">
        <w:rPr>
          <w:rFonts w:ascii="Times New Roman" w:hAnsi="Times New Roman"/>
          <w:sz w:val="24"/>
          <w:szCs w:val="24"/>
          <w:lang w:val="en-GB"/>
        </w:rPr>
        <w:t xml:space="preserve"> </w:t>
      </w:r>
      <w:r w:rsidR="00B71B3E" w:rsidRPr="007E1CEC">
        <w:rPr>
          <w:rFonts w:ascii="Times New Roman" w:hAnsi="Times New Roman" w:cs="Calibri"/>
          <w:sz w:val="24"/>
          <w:szCs w:val="24"/>
          <w:lang w:val="en-US"/>
        </w:rPr>
        <w:t xml:space="preserve">De Allegri, A. Souares, and R. Sauerbon, </w:t>
      </w:r>
      <w:r w:rsidR="00B71B3E" w:rsidRPr="007E1CEC">
        <w:rPr>
          <w:rFonts w:ascii="Times New Roman" w:hAnsi="Times New Roman"/>
          <w:sz w:val="24"/>
          <w:szCs w:val="24"/>
          <w:lang w:val="en-US"/>
        </w:rPr>
        <w:t>2009. « </w:t>
      </w:r>
      <w:r w:rsidR="00B71B3E">
        <w:rPr>
          <w:rFonts w:ascii="Times New Roman" w:hAnsi="Times New Roman"/>
          <w:sz w:val="24"/>
          <w:szCs w:val="24"/>
          <w:lang w:val="en-US"/>
        </w:rPr>
        <w:t>Drop-out A</w:t>
      </w:r>
      <w:r w:rsidR="00B71B3E" w:rsidRPr="00AA5108">
        <w:rPr>
          <w:rFonts w:ascii="Times New Roman" w:hAnsi="Times New Roman"/>
          <w:sz w:val="24"/>
          <w:szCs w:val="24"/>
          <w:lang w:val="en-US"/>
        </w:rPr>
        <w:t>n</w:t>
      </w:r>
      <w:r w:rsidR="00B71B3E">
        <w:rPr>
          <w:rFonts w:ascii="Times New Roman" w:hAnsi="Times New Roman"/>
          <w:sz w:val="24"/>
          <w:szCs w:val="24"/>
          <w:lang w:val="en-US"/>
        </w:rPr>
        <w:t>alysis of Community-Based Health Insurance M</w:t>
      </w:r>
      <w:r w:rsidR="00B71B3E" w:rsidRPr="00AA5108">
        <w:rPr>
          <w:rFonts w:ascii="Times New Roman" w:hAnsi="Times New Roman"/>
          <w:sz w:val="24"/>
          <w:szCs w:val="24"/>
          <w:lang w:val="en-US"/>
        </w:rPr>
        <w:t>embership</w:t>
      </w:r>
      <w:r w:rsidR="00B71B3E">
        <w:rPr>
          <w:rFonts w:ascii="Times New Roman" w:hAnsi="Times New Roman"/>
          <w:sz w:val="24"/>
          <w:szCs w:val="24"/>
          <w:lang w:val="en-US"/>
        </w:rPr>
        <w:t xml:space="preserve"> </w:t>
      </w:r>
      <w:r w:rsidR="00B71B3E" w:rsidRPr="00AA5108">
        <w:rPr>
          <w:rFonts w:ascii="Times New Roman" w:hAnsi="Times New Roman"/>
          <w:sz w:val="24"/>
          <w:szCs w:val="24"/>
          <w:lang w:val="en-US"/>
        </w:rPr>
        <w:t>at Nouna, Burkina Faso</w:t>
      </w:r>
      <w:r w:rsidR="00B71B3E">
        <w:rPr>
          <w:rFonts w:ascii="Times New Roman" w:hAnsi="Times New Roman"/>
          <w:sz w:val="24"/>
          <w:szCs w:val="24"/>
          <w:lang w:val="en-US"/>
        </w:rPr>
        <w:t xml:space="preserve">”. </w:t>
      </w:r>
      <w:r w:rsidR="00B71B3E" w:rsidRPr="00916EFC">
        <w:rPr>
          <w:rFonts w:ascii="Times New Roman" w:hAnsi="Times New Roman"/>
          <w:i/>
          <w:sz w:val="24"/>
          <w:szCs w:val="24"/>
          <w:lang w:val="en-US"/>
        </w:rPr>
        <w:t>Health Policy</w:t>
      </w:r>
      <w:r w:rsidR="00AE78A2">
        <w:rPr>
          <w:rFonts w:ascii="Times New Roman" w:hAnsi="Times New Roman"/>
          <w:i/>
          <w:sz w:val="24"/>
          <w:szCs w:val="24"/>
          <w:lang w:val="en-US"/>
        </w:rPr>
        <w:t xml:space="preserve">, </w:t>
      </w:r>
      <w:r w:rsidR="00AE78A2">
        <w:rPr>
          <w:rFonts w:ascii="Times New Roman" w:hAnsi="Times New Roman"/>
          <w:sz w:val="24"/>
          <w:szCs w:val="24"/>
          <w:lang w:val="en-US"/>
        </w:rPr>
        <w:t>Vol.</w:t>
      </w:r>
      <w:r w:rsidR="00B71B3E" w:rsidRPr="00AA5108">
        <w:rPr>
          <w:rFonts w:ascii="Times New Roman" w:hAnsi="Times New Roman"/>
          <w:sz w:val="24"/>
          <w:szCs w:val="24"/>
          <w:lang w:val="en-US"/>
        </w:rPr>
        <w:t xml:space="preserve"> 92</w:t>
      </w:r>
      <w:r w:rsidR="00B71B3E">
        <w:rPr>
          <w:rFonts w:ascii="Times New Roman" w:hAnsi="Times New Roman"/>
          <w:sz w:val="24"/>
          <w:szCs w:val="24"/>
          <w:lang w:val="en-US"/>
        </w:rPr>
        <w:t xml:space="preserve">, </w:t>
      </w:r>
      <w:r w:rsidR="00AE78A2">
        <w:rPr>
          <w:rFonts w:ascii="Times New Roman" w:hAnsi="Times New Roman"/>
          <w:sz w:val="24"/>
          <w:szCs w:val="24"/>
          <w:lang w:val="en-US"/>
        </w:rPr>
        <w:t xml:space="preserve">pp. </w:t>
      </w:r>
      <w:r w:rsidR="00B71B3E" w:rsidRPr="00AA5108">
        <w:rPr>
          <w:rFonts w:ascii="Times New Roman" w:hAnsi="Times New Roman"/>
          <w:sz w:val="24"/>
          <w:szCs w:val="24"/>
          <w:lang w:val="en-US"/>
        </w:rPr>
        <w:t>174–179</w:t>
      </w:r>
      <w:r w:rsidR="00B71B3E">
        <w:rPr>
          <w:rFonts w:ascii="Times New Roman" w:hAnsi="Times New Roman"/>
          <w:sz w:val="24"/>
          <w:szCs w:val="24"/>
          <w:lang w:val="en-US"/>
        </w:rPr>
        <w:t>.</w:t>
      </w:r>
    </w:p>
    <w:p w:rsidR="00726ED5" w:rsidRDefault="00726ED5" w:rsidP="00B71B3E">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US"/>
        </w:rPr>
        <w:t>Elabed, G., and M. R. Carter, 2013. “Basis Risk and Compound-Risk Aversion: Evidence from a WTP Experiment in Mali”, Working Paper, University of Davis, California.</w:t>
      </w:r>
    </w:p>
    <w:p w:rsidR="00B71B3E" w:rsidRPr="00D3162D" w:rsidRDefault="00B71B3E" w:rsidP="00B71B3E">
      <w:pPr>
        <w:autoSpaceDE w:val="0"/>
        <w:autoSpaceDN w:val="0"/>
        <w:adjustRightInd w:val="0"/>
        <w:spacing w:before="100" w:beforeAutospacing="1" w:after="100" w:afterAutospacing="1" w:line="240" w:lineRule="auto"/>
        <w:jc w:val="both"/>
        <w:rPr>
          <w:rFonts w:ascii="Times New Roman" w:hAnsi="Times New Roman"/>
          <w:sz w:val="24"/>
          <w:szCs w:val="24"/>
          <w:lang w:val="en-US" w:eastAsia="fr-BE"/>
        </w:rPr>
      </w:pPr>
      <w:r w:rsidRPr="00D3162D">
        <w:rPr>
          <w:rFonts w:ascii="Times New Roman" w:hAnsi="Times New Roman"/>
          <w:sz w:val="24"/>
          <w:szCs w:val="24"/>
          <w:lang w:val="en-US"/>
        </w:rPr>
        <w:t xml:space="preserve">Ellsberg, D., 1961. “Risk, Ambiguity, and the Savage Axioms”, </w:t>
      </w:r>
      <w:r w:rsidRPr="00D3162D">
        <w:rPr>
          <w:rFonts w:ascii="Times New Roman" w:hAnsi="Times New Roman"/>
          <w:i/>
          <w:sz w:val="24"/>
          <w:szCs w:val="24"/>
          <w:lang w:val="en-US"/>
        </w:rPr>
        <w:t>Quarterly Journal of Economics</w:t>
      </w:r>
      <w:r w:rsidRPr="00D3162D">
        <w:rPr>
          <w:rFonts w:ascii="Times New Roman" w:hAnsi="Times New Roman"/>
          <w:sz w:val="24"/>
          <w:szCs w:val="24"/>
          <w:lang w:val="en-US"/>
        </w:rPr>
        <w:t xml:space="preserve">, </w:t>
      </w:r>
      <w:r w:rsidR="00AE78A2">
        <w:rPr>
          <w:rFonts w:ascii="Times New Roman" w:hAnsi="Times New Roman"/>
          <w:sz w:val="24"/>
          <w:szCs w:val="24"/>
          <w:lang w:val="en-US"/>
        </w:rPr>
        <w:t xml:space="preserve">Vol. </w:t>
      </w:r>
      <w:r w:rsidRPr="00D3162D">
        <w:rPr>
          <w:rFonts w:ascii="Times New Roman" w:hAnsi="Times New Roman"/>
          <w:sz w:val="24"/>
          <w:szCs w:val="24"/>
          <w:lang w:val="en-US"/>
        </w:rPr>
        <w:t xml:space="preserve">75, </w:t>
      </w:r>
      <w:r w:rsidR="00AE78A2">
        <w:rPr>
          <w:rFonts w:ascii="Times New Roman" w:hAnsi="Times New Roman"/>
          <w:sz w:val="24"/>
          <w:szCs w:val="24"/>
          <w:lang w:val="en-US"/>
        </w:rPr>
        <w:t xml:space="preserve">pp. </w:t>
      </w:r>
      <w:r w:rsidRPr="00D3162D">
        <w:rPr>
          <w:rFonts w:ascii="Times New Roman" w:hAnsi="Times New Roman"/>
          <w:sz w:val="24"/>
          <w:szCs w:val="24"/>
          <w:lang w:val="en-US"/>
        </w:rPr>
        <w:t>643-669.</w:t>
      </w:r>
      <w:r w:rsidRPr="00D3162D">
        <w:rPr>
          <w:rFonts w:ascii="Times New Roman" w:hAnsi="Times New Roman"/>
          <w:sz w:val="24"/>
          <w:szCs w:val="24"/>
          <w:lang w:val="en-US" w:eastAsia="fr-BE"/>
        </w:rPr>
        <w:t xml:space="preserve"> </w:t>
      </w:r>
    </w:p>
    <w:p w:rsidR="00B71B3E" w:rsidRDefault="00B71B3E" w:rsidP="00B71B3E">
      <w:pPr>
        <w:spacing w:before="100" w:beforeAutospacing="1" w:after="100" w:afterAutospacing="1" w:line="240" w:lineRule="auto"/>
        <w:jc w:val="both"/>
        <w:rPr>
          <w:rFonts w:ascii="Times New Roman" w:hAnsi="Times New Roman"/>
          <w:sz w:val="24"/>
          <w:szCs w:val="24"/>
          <w:lang w:val="en-US"/>
        </w:rPr>
      </w:pPr>
      <w:r w:rsidRPr="00AA5108">
        <w:rPr>
          <w:rFonts w:ascii="Times New Roman" w:hAnsi="Times New Roman"/>
          <w:sz w:val="24"/>
          <w:szCs w:val="24"/>
          <w:lang w:val="en-US"/>
        </w:rPr>
        <w:t>Fitzpatrick, A., B. Magnoni, and R.L. Thornton</w:t>
      </w:r>
      <w:r>
        <w:rPr>
          <w:rFonts w:ascii="Times New Roman" w:hAnsi="Times New Roman"/>
          <w:sz w:val="24"/>
          <w:szCs w:val="24"/>
          <w:lang w:val="en-US"/>
        </w:rPr>
        <w:t xml:space="preserve">, </w:t>
      </w:r>
      <w:r w:rsidRPr="00AA5108">
        <w:rPr>
          <w:rFonts w:ascii="Times New Roman" w:hAnsi="Times New Roman"/>
          <w:sz w:val="24"/>
          <w:szCs w:val="24"/>
          <w:lang w:val="en-US"/>
        </w:rPr>
        <w:t>2011</w:t>
      </w:r>
      <w:r>
        <w:rPr>
          <w:rFonts w:ascii="Times New Roman" w:hAnsi="Times New Roman"/>
          <w:sz w:val="24"/>
          <w:szCs w:val="24"/>
          <w:lang w:val="en-US"/>
        </w:rPr>
        <w:t>. “Microinsurance Utiliza</w:t>
      </w:r>
      <w:r w:rsidRPr="00AA5108">
        <w:rPr>
          <w:rFonts w:ascii="Times New Roman" w:hAnsi="Times New Roman"/>
          <w:sz w:val="24"/>
          <w:szCs w:val="24"/>
          <w:lang w:val="en-US"/>
        </w:rPr>
        <w:t>t</w:t>
      </w:r>
      <w:r>
        <w:rPr>
          <w:rFonts w:ascii="Times New Roman" w:hAnsi="Times New Roman"/>
          <w:sz w:val="24"/>
          <w:szCs w:val="24"/>
          <w:lang w:val="en-US"/>
        </w:rPr>
        <w:t>ion in Nicaragua: A Report on Effects on Children, R</w:t>
      </w:r>
      <w:r w:rsidRPr="00AA5108">
        <w:rPr>
          <w:rFonts w:ascii="Times New Roman" w:hAnsi="Times New Roman"/>
          <w:sz w:val="24"/>
          <w:szCs w:val="24"/>
          <w:lang w:val="en-US"/>
        </w:rPr>
        <w:t>etention, and</w:t>
      </w:r>
      <w:r>
        <w:rPr>
          <w:rFonts w:ascii="Times New Roman" w:hAnsi="Times New Roman"/>
          <w:sz w:val="24"/>
          <w:szCs w:val="24"/>
          <w:lang w:val="en-US"/>
        </w:rPr>
        <w:t xml:space="preserve"> H</w:t>
      </w:r>
      <w:r w:rsidRPr="00AA5108">
        <w:rPr>
          <w:rFonts w:ascii="Times New Roman" w:hAnsi="Times New Roman"/>
          <w:sz w:val="24"/>
          <w:szCs w:val="24"/>
          <w:lang w:val="en-US"/>
        </w:rPr>
        <w:t>ealth</w:t>
      </w:r>
      <w:r>
        <w:rPr>
          <w:rFonts w:ascii="Times New Roman" w:hAnsi="Times New Roman"/>
          <w:sz w:val="24"/>
          <w:szCs w:val="24"/>
          <w:lang w:val="en-US"/>
        </w:rPr>
        <w:t>”</w:t>
      </w:r>
      <w:r w:rsidRPr="00AA5108">
        <w:rPr>
          <w:rFonts w:ascii="Times New Roman" w:hAnsi="Times New Roman"/>
          <w:sz w:val="24"/>
          <w:szCs w:val="24"/>
          <w:lang w:val="en-US"/>
        </w:rPr>
        <w:t>. ILO Microinsurance Innovation Facility Research Paper.</w:t>
      </w:r>
      <w:r w:rsidRPr="00287893">
        <w:rPr>
          <w:rFonts w:ascii="Times New Roman" w:hAnsi="Times New Roman"/>
          <w:sz w:val="24"/>
          <w:szCs w:val="24"/>
          <w:lang w:val="en-US"/>
        </w:rPr>
        <w:t xml:space="preserve"> </w:t>
      </w:r>
    </w:p>
    <w:p w:rsidR="00780DEB" w:rsidRPr="00780DEB" w:rsidRDefault="00780DEB" w:rsidP="00B71B3E">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US"/>
        </w:rPr>
        <w:t xml:space="preserve">Gabaix, X., and D. Laibson, 2006, “Shrouded Attributes, Consumer Myopia, and Information Suppression in Competitive Markets”, </w:t>
      </w:r>
      <w:r>
        <w:rPr>
          <w:rFonts w:ascii="Times New Roman" w:hAnsi="Times New Roman"/>
          <w:i/>
          <w:sz w:val="24"/>
          <w:szCs w:val="24"/>
          <w:lang w:val="en-US"/>
        </w:rPr>
        <w:t xml:space="preserve">Quarterly Journal of Economics, </w:t>
      </w:r>
      <w:r>
        <w:rPr>
          <w:rFonts w:ascii="Times New Roman" w:hAnsi="Times New Roman"/>
          <w:sz w:val="24"/>
          <w:szCs w:val="24"/>
          <w:lang w:val="en-US"/>
        </w:rPr>
        <w:t>Vol. 121, N° 2, pp. 505-540.</w:t>
      </w:r>
    </w:p>
    <w:p w:rsidR="008E2089" w:rsidRDefault="00B71B3E" w:rsidP="008E2089">
      <w:pPr>
        <w:spacing w:before="100" w:beforeAutospacing="1" w:after="100" w:afterAutospacing="1" w:line="240" w:lineRule="auto"/>
        <w:jc w:val="both"/>
        <w:rPr>
          <w:rFonts w:ascii="Times New Roman" w:hAnsi="Times New Roman"/>
          <w:color w:val="000000"/>
          <w:sz w:val="24"/>
          <w:szCs w:val="24"/>
          <w:lang w:val="en-US"/>
        </w:rPr>
      </w:pPr>
      <w:r w:rsidRPr="00381A64">
        <w:rPr>
          <w:rFonts w:ascii="Times New Roman" w:hAnsi="Times New Roman"/>
          <w:color w:val="000000"/>
          <w:sz w:val="24"/>
          <w:szCs w:val="24"/>
          <w:lang w:val="en-US"/>
        </w:rPr>
        <w:t>Gabler,</w:t>
      </w:r>
      <w:r>
        <w:rPr>
          <w:rFonts w:ascii="Times New Roman" w:hAnsi="Times New Roman"/>
          <w:color w:val="000000"/>
          <w:sz w:val="24"/>
          <w:szCs w:val="24"/>
          <w:lang w:val="en-US"/>
        </w:rPr>
        <w:t xml:space="preserve"> S., F. Laisney, and M. Lechner,</w:t>
      </w:r>
      <w:r w:rsidRPr="00381A64">
        <w:rPr>
          <w:rFonts w:ascii="Times New Roman" w:hAnsi="Times New Roman"/>
          <w:color w:val="000000"/>
          <w:sz w:val="24"/>
          <w:szCs w:val="24"/>
          <w:lang w:val="en-US"/>
        </w:rPr>
        <w:t xml:space="preserve"> 1993. </w:t>
      </w:r>
      <w:r>
        <w:rPr>
          <w:rFonts w:ascii="Times New Roman" w:hAnsi="Times New Roman"/>
          <w:color w:val="000000"/>
          <w:sz w:val="24"/>
          <w:szCs w:val="24"/>
          <w:lang w:val="en-US"/>
        </w:rPr>
        <w:t>“</w:t>
      </w:r>
      <w:r w:rsidRPr="00381A64">
        <w:rPr>
          <w:rFonts w:ascii="Times New Roman" w:hAnsi="Times New Roman"/>
          <w:color w:val="000000"/>
          <w:sz w:val="24"/>
          <w:szCs w:val="24"/>
          <w:lang w:val="en-US"/>
        </w:rPr>
        <w:t>Semi</w:t>
      </w:r>
      <w:r>
        <w:rPr>
          <w:rFonts w:ascii="Times New Roman" w:hAnsi="Times New Roman"/>
          <w:color w:val="000000"/>
          <w:sz w:val="24"/>
          <w:szCs w:val="24"/>
          <w:lang w:val="en-US"/>
        </w:rPr>
        <w:t>-nonparametric E</w:t>
      </w:r>
      <w:r w:rsidRPr="00381A64">
        <w:rPr>
          <w:rFonts w:ascii="Times New Roman" w:hAnsi="Times New Roman"/>
          <w:color w:val="000000"/>
          <w:sz w:val="24"/>
          <w:szCs w:val="24"/>
          <w:lang w:val="en-US"/>
        </w:rPr>
        <w:t>stimatio</w:t>
      </w:r>
      <w:r>
        <w:rPr>
          <w:rFonts w:ascii="Times New Roman" w:hAnsi="Times New Roman"/>
          <w:color w:val="000000"/>
          <w:sz w:val="24"/>
          <w:szCs w:val="24"/>
          <w:lang w:val="en-US"/>
        </w:rPr>
        <w:t>n of B</w:t>
      </w:r>
      <w:r w:rsidRPr="00381A64">
        <w:rPr>
          <w:rFonts w:ascii="Times New Roman" w:hAnsi="Times New Roman"/>
          <w:color w:val="000000"/>
          <w:sz w:val="24"/>
          <w:szCs w:val="24"/>
          <w:lang w:val="en-US"/>
        </w:rPr>
        <w:t>inary</w:t>
      </w:r>
      <w:r>
        <w:rPr>
          <w:rFonts w:ascii="Times New Roman" w:hAnsi="Times New Roman"/>
          <w:color w:val="000000"/>
          <w:sz w:val="24"/>
          <w:szCs w:val="24"/>
          <w:lang w:val="en-US"/>
        </w:rPr>
        <w:t xml:space="preserve"> C</w:t>
      </w:r>
      <w:r w:rsidRPr="00381A64">
        <w:rPr>
          <w:rFonts w:ascii="Times New Roman" w:hAnsi="Times New Roman"/>
          <w:color w:val="000000"/>
          <w:sz w:val="24"/>
          <w:szCs w:val="24"/>
          <w:lang w:val="en-US"/>
        </w:rPr>
        <w:t>hoice</w:t>
      </w:r>
      <w:r>
        <w:rPr>
          <w:rFonts w:ascii="Times New Roman" w:hAnsi="Times New Roman"/>
          <w:color w:val="000000"/>
          <w:sz w:val="24"/>
          <w:szCs w:val="24"/>
          <w:lang w:val="en-US"/>
        </w:rPr>
        <w:t xml:space="preserve"> Models with an Application to Labor-Force P</w:t>
      </w:r>
      <w:r w:rsidRPr="00381A64">
        <w:rPr>
          <w:rFonts w:ascii="Times New Roman" w:hAnsi="Times New Roman"/>
          <w:color w:val="000000"/>
          <w:sz w:val="24"/>
          <w:szCs w:val="24"/>
          <w:lang w:val="en-US"/>
        </w:rPr>
        <w:t>articipation</w:t>
      </w:r>
      <w:r>
        <w:rPr>
          <w:rFonts w:ascii="Times New Roman" w:hAnsi="Times New Roman"/>
          <w:color w:val="000000"/>
          <w:sz w:val="24"/>
          <w:szCs w:val="24"/>
          <w:lang w:val="en-US"/>
        </w:rPr>
        <w:t>”</w:t>
      </w:r>
      <w:r w:rsidRPr="00381A64">
        <w:rPr>
          <w:rFonts w:ascii="Times New Roman" w:hAnsi="Times New Roman"/>
          <w:color w:val="000000"/>
          <w:sz w:val="24"/>
          <w:szCs w:val="24"/>
          <w:lang w:val="en-US"/>
        </w:rPr>
        <w:t xml:space="preserve">. </w:t>
      </w:r>
      <w:r w:rsidRPr="00294E1F">
        <w:rPr>
          <w:rFonts w:ascii="Times New Roman" w:hAnsi="Times New Roman"/>
          <w:i/>
          <w:color w:val="000000"/>
          <w:sz w:val="24"/>
          <w:szCs w:val="24"/>
          <w:lang w:val="en-US"/>
        </w:rPr>
        <w:t>Journal of Business and Economic Statistics</w:t>
      </w:r>
      <w:r w:rsidR="00AE78A2">
        <w:rPr>
          <w:rFonts w:ascii="Times New Roman" w:hAnsi="Times New Roman"/>
          <w:i/>
          <w:color w:val="000000"/>
          <w:sz w:val="24"/>
          <w:szCs w:val="24"/>
          <w:lang w:val="en-US"/>
        </w:rPr>
        <w:t xml:space="preserve">, </w:t>
      </w:r>
      <w:r w:rsidR="00AE78A2">
        <w:rPr>
          <w:rFonts w:ascii="Times New Roman" w:hAnsi="Times New Roman"/>
          <w:color w:val="000000"/>
          <w:sz w:val="24"/>
          <w:szCs w:val="24"/>
          <w:lang w:val="en-US"/>
        </w:rPr>
        <w:t>Vol.</w:t>
      </w:r>
      <w:r w:rsidRPr="00381A64">
        <w:rPr>
          <w:rFonts w:ascii="Times New Roman" w:hAnsi="Times New Roman"/>
          <w:color w:val="000000"/>
          <w:sz w:val="24"/>
          <w:szCs w:val="24"/>
          <w:lang w:val="en-US"/>
        </w:rPr>
        <w:t xml:space="preserve"> 11</w:t>
      </w:r>
      <w:r>
        <w:rPr>
          <w:rFonts w:ascii="Times New Roman" w:hAnsi="Times New Roman"/>
          <w:color w:val="000000"/>
          <w:sz w:val="24"/>
          <w:szCs w:val="24"/>
          <w:lang w:val="en-US"/>
        </w:rPr>
        <w:t>,</w:t>
      </w:r>
      <w:r w:rsidRPr="00381A64">
        <w:rPr>
          <w:rFonts w:ascii="Times New Roman" w:hAnsi="Times New Roman"/>
          <w:color w:val="000000"/>
          <w:sz w:val="24"/>
          <w:szCs w:val="24"/>
          <w:lang w:val="en-US"/>
        </w:rPr>
        <w:t xml:space="preserve"> </w:t>
      </w:r>
      <w:r w:rsidR="00AE78A2">
        <w:rPr>
          <w:rFonts w:ascii="Times New Roman" w:hAnsi="Times New Roman"/>
          <w:color w:val="000000"/>
          <w:sz w:val="24"/>
          <w:szCs w:val="24"/>
          <w:lang w:val="en-US"/>
        </w:rPr>
        <w:t xml:space="preserve">pp. </w:t>
      </w:r>
      <w:r w:rsidRPr="00381A64">
        <w:rPr>
          <w:rFonts w:ascii="Times New Roman" w:hAnsi="Times New Roman"/>
          <w:color w:val="000000"/>
          <w:sz w:val="24"/>
          <w:szCs w:val="24"/>
          <w:lang w:val="en-US"/>
        </w:rPr>
        <w:t>61–80.</w:t>
      </w:r>
    </w:p>
    <w:p w:rsidR="008E2089" w:rsidRDefault="008E2089" w:rsidP="008E2089">
      <w:pPr>
        <w:spacing w:before="100" w:beforeAutospacing="1" w:after="100" w:afterAutospacing="1" w:line="240" w:lineRule="auto"/>
        <w:jc w:val="both"/>
        <w:rPr>
          <w:rFonts w:ascii="Times New Roman" w:hAnsi="Times New Roman"/>
          <w:color w:val="000000"/>
          <w:sz w:val="24"/>
          <w:szCs w:val="24"/>
          <w:lang w:val="en-US"/>
        </w:rPr>
      </w:pPr>
      <w:r w:rsidRPr="008E2089">
        <w:rPr>
          <w:rFonts w:ascii="Times New Roman" w:hAnsi="Times New Roman"/>
          <w:sz w:val="24"/>
          <w:szCs w:val="24"/>
          <w:lang w:val="en-US" w:eastAsia="fr-FR"/>
        </w:rPr>
        <w:t xml:space="preserve">Gaurav S., S. Cole, and J. </w:t>
      </w:r>
      <w:r>
        <w:rPr>
          <w:rFonts w:ascii="Times New Roman" w:hAnsi="Times New Roman"/>
          <w:sz w:val="24"/>
          <w:szCs w:val="24"/>
          <w:lang w:val="en-US" w:eastAsia="fr-FR"/>
        </w:rPr>
        <w:t>Tobacman, 2010,</w:t>
      </w:r>
      <w:r w:rsidRPr="008E2089">
        <w:rPr>
          <w:rFonts w:ascii="Times New Roman" w:hAnsi="Times New Roman"/>
          <w:sz w:val="24"/>
          <w:szCs w:val="24"/>
          <w:lang w:val="en-US" w:eastAsia="fr-FR"/>
        </w:rPr>
        <w:t xml:space="preserve"> </w:t>
      </w:r>
      <w:r>
        <w:rPr>
          <w:rFonts w:ascii="Times New Roman" w:hAnsi="Times New Roman"/>
          <w:sz w:val="24"/>
          <w:szCs w:val="24"/>
          <w:lang w:val="en-US" w:eastAsia="fr-FR"/>
        </w:rPr>
        <w:t>“</w:t>
      </w:r>
      <w:r w:rsidRPr="008E2089">
        <w:rPr>
          <w:rFonts w:ascii="Times New Roman" w:hAnsi="Times New Roman"/>
          <w:sz w:val="24"/>
          <w:szCs w:val="24"/>
          <w:lang w:val="en-US" w:eastAsia="fr-FR"/>
        </w:rPr>
        <w:t>A Randomized Evaluation of the Impact of</w:t>
      </w:r>
      <w:r>
        <w:rPr>
          <w:rFonts w:ascii="Times New Roman" w:hAnsi="Times New Roman"/>
          <w:color w:val="000000"/>
          <w:sz w:val="24"/>
          <w:szCs w:val="24"/>
          <w:lang w:val="en-US"/>
        </w:rPr>
        <w:t xml:space="preserve"> </w:t>
      </w:r>
      <w:r w:rsidRPr="008E2089">
        <w:rPr>
          <w:rFonts w:ascii="Times New Roman" w:hAnsi="Times New Roman"/>
          <w:sz w:val="24"/>
          <w:szCs w:val="24"/>
          <w:lang w:val="en-US" w:eastAsia="fr-FR"/>
        </w:rPr>
        <w:t>Financial Literacy on Rainfall Insurance Take-up in Gujarat</w:t>
      </w:r>
      <w:r>
        <w:rPr>
          <w:rFonts w:ascii="Times New Roman" w:hAnsi="Times New Roman"/>
          <w:b/>
          <w:bCs/>
          <w:sz w:val="24"/>
          <w:szCs w:val="24"/>
          <w:lang w:val="en-US" w:eastAsia="fr-FR"/>
        </w:rPr>
        <w:t>”,</w:t>
      </w:r>
      <w:r w:rsidRPr="008E2089">
        <w:rPr>
          <w:rFonts w:ascii="Times New Roman" w:hAnsi="Times New Roman"/>
          <w:b/>
          <w:bCs/>
          <w:sz w:val="24"/>
          <w:szCs w:val="24"/>
          <w:lang w:val="en-US" w:eastAsia="fr-FR"/>
        </w:rPr>
        <w:t xml:space="preserve"> </w:t>
      </w:r>
      <w:r w:rsidRPr="008E2089">
        <w:rPr>
          <w:rFonts w:ascii="Times New Roman" w:hAnsi="Times New Roman"/>
          <w:sz w:val="24"/>
          <w:szCs w:val="24"/>
          <w:lang w:val="en-US" w:eastAsia="fr-FR"/>
        </w:rPr>
        <w:t>ILO Microinsurance Innovation</w:t>
      </w:r>
      <w:r>
        <w:rPr>
          <w:rFonts w:ascii="Times New Roman" w:hAnsi="Times New Roman"/>
          <w:color w:val="000000"/>
          <w:sz w:val="24"/>
          <w:szCs w:val="24"/>
          <w:lang w:val="en-US"/>
        </w:rPr>
        <w:t xml:space="preserve"> </w:t>
      </w:r>
      <w:r w:rsidRPr="008E2089">
        <w:rPr>
          <w:rFonts w:ascii="Times New Roman" w:hAnsi="Times New Roman"/>
          <w:sz w:val="24"/>
          <w:szCs w:val="24"/>
          <w:lang w:val="en-US" w:eastAsia="fr-FR"/>
        </w:rPr>
        <w:t>Facility Research Paper No.1</w:t>
      </w:r>
      <w:r>
        <w:rPr>
          <w:rFonts w:ascii="Times New Roman" w:hAnsi="Times New Roman"/>
          <w:sz w:val="24"/>
          <w:szCs w:val="24"/>
          <w:lang w:val="en-US" w:eastAsia="fr-FR"/>
        </w:rPr>
        <w:t>, International Labour Office, Geneva</w:t>
      </w:r>
      <w:r w:rsidRPr="008E2089">
        <w:rPr>
          <w:rFonts w:ascii="Times New Roman" w:hAnsi="Times New Roman"/>
          <w:sz w:val="24"/>
          <w:szCs w:val="24"/>
          <w:lang w:val="en-US" w:eastAsia="fr-FR"/>
        </w:rPr>
        <w:t>.</w:t>
      </w:r>
    </w:p>
    <w:p w:rsidR="00F227AA" w:rsidRPr="00381A64" w:rsidRDefault="00156050" w:rsidP="00F227AA">
      <w:pPr>
        <w:spacing w:before="100" w:beforeAutospacing="1" w:after="100" w:afterAutospacing="1" w:line="240" w:lineRule="auto"/>
        <w:jc w:val="both"/>
        <w:rPr>
          <w:rFonts w:ascii="Times New Roman" w:hAnsi="Times New Roman"/>
          <w:color w:val="000000"/>
          <w:sz w:val="24"/>
          <w:szCs w:val="24"/>
          <w:lang w:val="en-US"/>
        </w:rPr>
      </w:pPr>
      <w:r>
        <w:rPr>
          <w:rFonts w:ascii="Times New Roman" w:hAnsi="Times New Roman"/>
          <w:sz w:val="24"/>
          <w:szCs w:val="24"/>
          <w:lang w:val="en-US" w:eastAsia="fr-FR"/>
        </w:rPr>
        <w:lastRenderedPageBreak/>
        <w:t>Gertler, P., and J. Gruber, 2002,</w:t>
      </w:r>
      <w:r w:rsidR="00F227AA" w:rsidRPr="00F227AA">
        <w:rPr>
          <w:rFonts w:ascii="Times New Roman" w:hAnsi="Times New Roman"/>
          <w:sz w:val="24"/>
          <w:szCs w:val="24"/>
          <w:lang w:val="en-US" w:eastAsia="fr-FR"/>
        </w:rPr>
        <w:t xml:space="preserve"> </w:t>
      </w:r>
      <w:r>
        <w:rPr>
          <w:rFonts w:ascii="Times New Roman" w:hAnsi="Times New Roman"/>
          <w:sz w:val="24"/>
          <w:szCs w:val="24"/>
          <w:lang w:val="en-US" w:eastAsia="fr-FR"/>
        </w:rPr>
        <w:t xml:space="preserve">“Insuring Consumption </w:t>
      </w:r>
      <w:r w:rsidR="00E32933">
        <w:rPr>
          <w:rFonts w:ascii="Times New Roman" w:hAnsi="Times New Roman"/>
          <w:sz w:val="24"/>
          <w:szCs w:val="24"/>
          <w:lang w:val="en-US" w:eastAsia="fr-FR"/>
        </w:rPr>
        <w:t>a</w:t>
      </w:r>
      <w:r>
        <w:rPr>
          <w:rFonts w:ascii="Times New Roman" w:hAnsi="Times New Roman"/>
          <w:sz w:val="24"/>
          <w:szCs w:val="24"/>
          <w:lang w:val="en-US" w:eastAsia="fr-FR"/>
        </w:rPr>
        <w:t>gainst Illness”,</w:t>
      </w:r>
      <w:r w:rsidR="00F227AA" w:rsidRPr="00F227AA">
        <w:rPr>
          <w:rFonts w:ascii="Times New Roman" w:hAnsi="Times New Roman"/>
          <w:sz w:val="24"/>
          <w:szCs w:val="24"/>
          <w:lang w:val="en-US" w:eastAsia="fr-FR"/>
        </w:rPr>
        <w:t xml:space="preserve"> </w:t>
      </w:r>
      <w:r w:rsidR="00F227AA" w:rsidRPr="00156050">
        <w:rPr>
          <w:rFonts w:ascii="Times New Roman" w:hAnsi="Times New Roman"/>
          <w:i/>
          <w:iCs/>
          <w:sz w:val="24"/>
          <w:szCs w:val="24"/>
          <w:lang w:val="en-US" w:eastAsia="fr-FR"/>
        </w:rPr>
        <w:t>American Economic</w:t>
      </w:r>
      <w:r>
        <w:rPr>
          <w:rFonts w:ascii="Times New Roman" w:hAnsi="Times New Roman"/>
          <w:color w:val="000000"/>
          <w:sz w:val="24"/>
          <w:szCs w:val="24"/>
          <w:lang w:val="en-US"/>
        </w:rPr>
        <w:t xml:space="preserve"> </w:t>
      </w:r>
      <w:r w:rsidR="00F227AA" w:rsidRPr="00156050">
        <w:rPr>
          <w:rFonts w:ascii="Times New Roman" w:hAnsi="Times New Roman"/>
          <w:i/>
          <w:iCs/>
          <w:sz w:val="24"/>
          <w:szCs w:val="24"/>
          <w:lang w:val="en-US" w:eastAsia="fr-FR"/>
        </w:rPr>
        <w:t xml:space="preserve">Review, </w:t>
      </w:r>
      <w:r w:rsidRPr="00156050">
        <w:rPr>
          <w:rFonts w:ascii="Times New Roman" w:hAnsi="Times New Roman"/>
          <w:iCs/>
          <w:sz w:val="24"/>
          <w:szCs w:val="24"/>
          <w:lang w:val="en-US" w:eastAsia="fr-FR"/>
        </w:rPr>
        <w:t xml:space="preserve">Vol. </w:t>
      </w:r>
      <w:r w:rsidR="00F227AA" w:rsidRPr="00156050">
        <w:rPr>
          <w:rFonts w:ascii="Times New Roman" w:hAnsi="Times New Roman"/>
          <w:iCs/>
          <w:sz w:val="24"/>
          <w:szCs w:val="24"/>
          <w:lang w:val="en-US" w:eastAsia="fr-FR"/>
        </w:rPr>
        <w:t>92</w:t>
      </w:r>
      <w:r>
        <w:rPr>
          <w:rFonts w:ascii="Times New Roman" w:hAnsi="Times New Roman"/>
          <w:sz w:val="24"/>
          <w:szCs w:val="24"/>
          <w:lang w:val="en-US" w:eastAsia="fr-FR"/>
        </w:rPr>
        <w:t>, N°1</w:t>
      </w:r>
      <w:r w:rsidR="00F227AA" w:rsidRPr="00156050">
        <w:rPr>
          <w:rFonts w:ascii="Times New Roman" w:hAnsi="Times New Roman"/>
          <w:sz w:val="24"/>
          <w:szCs w:val="24"/>
          <w:lang w:val="en-US" w:eastAsia="fr-FR"/>
        </w:rPr>
        <w:t xml:space="preserve">, </w:t>
      </w:r>
      <w:r>
        <w:rPr>
          <w:rFonts w:ascii="Times New Roman" w:hAnsi="Times New Roman"/>
          <w:sz w:val="24"/>
          <w:szCs w:val="24"/>
          <w:lang w:val="en-US" w:eastAsia="fr-FR"/>
        </w:rPr>
        <w:t xml:space="preserve">pp. </w:t>
      </w:r>
      <w:r w:rsidR="00F227AA" w:rsidRPr="00156050">
        <w:rPr>
          <w:rFonts w:ascii="Times New Roman" w:hAnsi="Times New Roman"/>
          <w:sz w:val="24"/>
          <w:szCs w:val="24"/>
          <w:lang w:val="en-US" w:eastAsia="fr-FR"/>
        </w:rPr>
        <w:t>50–70.</w:t>
      </w:r>
    </w:p>
    <w:p w:rsidR="00C605F3" w:rsidRDefault="00B71B3E" w:rsidP="00C605F3">
      <w:pPr>
        <w:autoSpaceDE w:val="0"/>
        <w:autoSpaceDN w:val="0"/>
        <w:adjustRightInd w:val="0"/>
        <w:spacing w:before="100" w:beforeAutospacing="1" w:after="100" w:afterAutospacing="1" w:line="240" w:lineRule="auto"/>
        <w:jc w:val="both"/>
        <w:rPr>
          <w:rFonts w:ascii="Times New Roman" w:hAnsi="Times New Roman"/>
          <w:sz w:val="24"/>
          <w:szCs w:val="24"/>
          <w:lang w:val="en-US"/>
        </w:rPr>
      </w:pPr>
      <w:r w:rsidRPr="007E1CEC">
        <w:rPr>
          <w:rFonts w:ascii="Times New Roman" w:hAnsi="Times New Roman"/>
          <w:sz w:val="24"/>
          <w:szCs w:val="24"/>
          <w:lang w:val="en-US"/>
        </w:rPr>
        <w:t xml:space="preserve">Gilovich, T., </w:t>
      </w:r>
      <w:r>
        <w:rPr>
          <w:rFonts w:ascii="Times New Roman" w:hAnsi="Times New Roman"/>
          <w:sz w:val="24"/>
          <w:szCs w:val="24"/>
          <w:lang w:val="en-US"/>
        </w:rPr>
        <w:t>R. Vallone</w:t>
      </w:r>
      <w:r w:rsidRPr="007E1CEC">
        <w:rPr>
          <w:rFonts w:ascii="Times New Roman" w:hAnsi="Times New Roman"/>
          <w:sz w:val="24"/>
          <w:szCs w:val="24"/>
          <w:lang w:val="en-US"/>
        </w:rPr>
        <w:t xml:space="preserve">, and </w:t>
      </w:r>
      <w:r>
        <w:rPr>
          <w:rFonts w:ascii="Times New Roman" w:hAnsi="Times New Roman"/>
          <w:sz w:val="24"/>
          <w:szCs w:val="24"/>
          <w:lang w:val="en-US"/>
        </w:rPr>
        <w:t>A. Tversky</w:t>
      </w:r>
      <w:r w:rsidRPr="007E1CEC">
        <w:rPr>
          <w:rFonts w:ascii="Times New Roman" w:hAnsi="Times New Roman"/>
          <w:sz w:val="24"/>
          <w:szCs w:val="24"/>
          <w:lang w:val="en-US"/>
        </w:rPr>
        <w:t xml:space="preserve">, 1985. “The Hot Hand in Basketball: On the Misperception of Random Sequences”, </w:t>
      </w:r>
      <w:r w:rsidRPr="007E1CEC">
        <w:rPr>
          <w:rFonts w:ascii="Times New Roman" w:hAnsi="Times New Roman"/>
          <w:i/>
          <w:sz w:val="24"/>
          <w:szCs w:val="24"/>
          <w:lang w:val="en-US"/>
        </w:rPr>
        <w:t>Cognitive Psychology</w:t>
      </w:r>
      <w:r w:rsidR="00AE78A2">
        <w:rPr>
          <w:rFonts w:ascii="Times New Roman" w:hAnsi="Times New Roman"/>
          <w:i/>
          <w:sz w:val="24"/>
          <w:szCs w:val="24"/>
          <w:lang w:val="en-US"/>
        </w:rPr>
        <w:t xml:space="preserve">, </w:t>
      </w:r>
      <w:r w:rsidR="00AE78A2">
        <w:rPr>
          <w:rFonts w:ascii="Times New Roman" w:hAnsi="Times New Roman"/>
          <w:sz w:val="24"/>
          <w:szCs w:val="24"/>
          <w:lang w:val="en-US"/>
        </w:rPr>
        <w:t>Vol.</w:t>
      </w:r>
      <w:r w:rsidRPr="007E1CEC">
        <w:rPr>
          <w:rFonts w:ascii="Times New Roman" w:hAnsi="Times New Roman"/>
          <w:sz w:val="24"/>
          <w:szCs w:val="24"/>
          <w:lang w:val="en-US"/>
        </w:rPr>
        <w:t xml:space="preserve"> 17, </w:t>
      </w:r>
      <w:r w:rsidR="00AE78A2">
        <w:rPr>
          <w:rFonts w:ascii="Times New Roman" w:hAnsi="Times New Roman"/>
          <w:sz w:val="24"/>
          <w:szCs w:val="24"/>
          <w:lang w:val="en-US"/>
        </w:rPr>
        <w:t xml:space="preserve">pp. </w:t>
      </w:r>
      <w:r w:rsidRPr="007E1CEC">
        <w:rPr>
          <w:rFonts w:ascii="Times New Roman" w:hAnsi="Times New Roman"/>
          <w:sz w:val="24"/>
          <w:szCs w:val="24"/>
          <w:lang w:val="en-US"/>
        </w:rPr>
        <w:t>295-314.</w:t>
      </w:r>
    </w:p>
    <w:p w:rsidR="00C605F3" w:rsidRDefault="00C605F3" w:rsidP="00C605F3">
      <w:pPr>
        <w:autoSpaceDE w:val="0"/>
        <w:autoSpaceDN w:val="0"/>
        <w:adjustRightInd w:val="0"/>
        <w:spacing w:before="100" w:beforeAutospacing="1" w:after="100" w:afterAutospacing="1" w:line="240" w:lineRule="auto"/>
        <w:jc w:val="both"/>
        <w:rPr>
          <w:rFonts w:ascii="Times New Roman" w:hAnsi="Times New Roman"/>
          <w:sz w:val="24"/>
          <w:szCs w:val="24"/>
          <w:lang w:val="en-US"/>
        </w:rPr>
      </w:pPr>
      <w:r w:rsidRPr="00C605F3">
        <w:rPr>
          <w:rFonts w:ascii="Times New Roman" w:hAnsi="Times New Roman"/>
          <w:sz w:val="24"/>
          <w:szCs w:val="24"/>
          <w:lang w:val="en-US" w:eastAsia="fr-FR"/>
        </w:rPr>
        <w:t>Giné, X</w:t>
      </w:r>
      <w:r w:rsidR="0065767A">
        <w:rPr>
          <w:rFonts w:ascii="Times New Roman" w:hAnsi="Times New Roman"/>
          <w:sz w:val="24"/>
          <w:szCs w:val="24"/>
          <w:lang w:val="en-US" w:eastAsia="fr-FR"/>
        </w:rPr>
        <w:t>., R. Townsend, and J. Vickery, 2007,</w:t>
      </w:r>
      <w:r w:rsidRPr="00C605F3">
        <w:rPr>
          <w:rFonts w:ascii="Times New Roman" w:hAnsi="Times New Roman"/>
          <w:sz w:val="24"/>
          <w:szCs w:val="24"/>
          <w:lang w:val="en-US" w:eastAsia="fr-FR"/>
        </w:rPr>
        <w:t xml:space="preserve"> </w:t>
      </w:r>
      <w:r w:rsidR="0065767A">
        <w:rPr>
          <w:rFonts w:ascii="Times New Roman" w:hAnsi="Times New Roman"/>
          <w:sz w:val="24"/>
          <w:szCs w:val="24"/>
          <w:lang w:val="en-US" w:eastAsia="fr-FR"/>
        </w:rPr>
        <w:t>“</w:t>
      </w:r>
      <w:r w:rsidRPr="00C605F3">
        <w:rPr>
          <w:rFonts w:ascii="Times New Roman" w:hAnsi="Times New Roman"/>
          <w:sz w:val="24"/>
          <w:szCs w:val="24"/>
          <w:lang w:val="en-US" w:eastAsia="fr-FR"/>
        </w:rPr>
        <w:t>Statistical</w:t>
      </w:r>
      <w:r>
        <w:rPr>
          <w:rFonts w:ascii="Times New Roman" w:hAnsi="Times New Roman"/>
          <w:sz w:val="24"/>
          <w:szCs w:val="24"/>
          <w:lang w:val="en-US" w:eastAsia="fr-FR"/>
        </w:rPr>
        <w:t xml:space="preserve"> Analysis of Rainfall Insurance </w:t>
      </w:r>
      <w:r w:rsidRPr="00C605F3">
        <w:rPr>
          <w:rFonts w:ascii="Times New Roman" w:hAnsi="Times New Roman"/>
          <w:sz w:val="24"/>
          <w:szCs w:val="24"/>
          <w:lang w:val="en-US" w:eastAsia="fr-FR"/>
        </w:rPr>
        <w:t>Payouts</w:t>
      </w:r>
      <w:r>
        <w:rPr>
          <w:rFonts w:ascii="Times New Roman" w:hAnsi="Times New Roman"/>
          <w:sz w:val="24"/>
          <w:szCs w:val="24"/>
          <w:lang w:val="en-US"/>
        </w:rPr>
        <w:t xml:space="preserve"> </w:t>
      </w:r>
      <w:r w:rsidRPr="00C605F3">
        <w:rPr>
          <w:rFonts w:ascii="Times New Roman" w:hAnsi="Times New Roman"/>
          <w:sz w:val="24"/>
          <w:szCs w:val="24"/>
          <w:lang w:val="en-US" w:eastAsia="fr-FR"/>
        </w:rPr>
        <w:t>in Southern India</w:t>
      </w:r>
      <w:r w:rsidR="0065767A">
        <w:rPr>
          <w:rFonts w:ascii="Times New Roman" w:hAnsi="Times New Roman"/>
          <w:sz w:val="24"/>
          <w:szCs w:val="24"/>
          <w:lang w:val="en-US" w:eastAsia="fr-FR"/>
        </w:rPr>
        <w:t>”,</w:t>
      </w:r>
      <w:r w:rsidRPr="00C605F3">
        <w:rPr>
          <w:rFonts w:ascii="Times New Roman" w:hAnsi="Times New Roman"/>
          <w:sz w:val="24"/>
          <w:szCs w:val="24"/>
          <w:lang w:val="en-US" w:eastAsia="fr-FR"/>
        </w:rPr>
        <w:t xml:space="preserve"> </w:t>
      </w:r>
      <w:r w:rsidRPr="00C605F3">
        <w:rPr>
          <w:rFonts w:ascii="Times New Roman" w:hAnsi="Times New Roman"/>
          <w:i/>
          <w:iCs/>
          <w:sz w:val="24"/>
          <w:szCs w:val="24"/>
          <w:lang w:val="en-US" w:eastAsia="fr-FR"/>
        </w:rPr>
        <w:t>American Journal of Agricultural Economics</w:t>
      </w:r>
      <w:r w:rsidRPr="00C605F3">
        <w:rPr>
          <w:rFonts w:ascii="Times New Roman" w:hAnsi="Times New Roman"/>
          <w:sz w:val="24"/>
          <w:szCs w:val="24"/>
          <w:lang w:val="en-US" w:eastAsia="fr-FR"/>
        </w:rPr>
        <w:t xml:space="preserve">, </w:t>
      </w:r>
      <w:r w:rsidR="0065767A">
        <w:rPr>
          <w:rFonts w:ascii="Times New Roman" w:hAnsi="Times New Roman"/>
          <w:sz w:val="24"/>
          <w:szCs w:val="24"/>
          <w:lang w:val="en-US" w:eastAsia="fr-FR"/>
        </w:rPr>
        <w:t xml:space="preserve">Vol. </w:t>
      </w:r>
      <w:r w:rsidRPr="0065767A">
        <w:rPr>
          <w:rFonts w:ascii="Times New Roman" w:hAnsi="Times New Roman"/>
          <w:iCs/>
          <w:sz w:val="24"/>
          <w:szCs w:val="24"/>
          <w:lang w:val="en-US" w:eastAsia="fr-FR"/>
        </w:rPr>
        <w:t>89</w:t>
      </w:r>
      <w:r w:rsidR="0065767A">
        <w:rPr>
          <w:rFonts w:ascii="Times New Roman" w:hAnsi="Times New Roman"/>
          <w:sz w:val="24"/>
          <w:szCs w:val="24"/>
          <w:lang w:val="en-US" w:eastAsia="fr-FR"/>
        </w:rPr>
        <w:t>, N°5</w:t>
      </w:r>
      <w:r w:rsidRPr="00C605F3">
        <w:rPr>
          <w:rFonts w:ascii="Times New Roman" w:hAnsi="Times New Roman"/>
          <w:sz w:val="24"/>
          <w:szCs w:val="24"/>
          <w:lang w:val="en-US" w:eastAsia="fr-FR"/>
        </w:rPr>
        <w:t>,</w:t>
      </w:r>
      <w:r w:rsidR="0065767A">
        <w:rPr>
          <w:rFonts w:ascii="Times New Roman" w:hAnsi="Times New Roman"/>
          <w:sz w:val="24"/>
          <w:szCs w:val="24"/>
          <w:lang w:val="en-US" w:eastAsia="fr-FR"/>
        </w:rPr>
        <w:t xml:space="preserve"> pp. </w:t>
      </w:r>
      <w:r w:rsidRPr="00C605F3">
        <w:rPr>
          <w:rFonts w:ascii="Times New Roman" w:hAnsi="Times New Roman"/>
          <w:sz w:val="24"/>
          <w:szCs w:val="24"/>
          <w:lang w:val="en-US" w:eastAsia="fr-FR"/>
        </w:rPr>
        <w:t>1248-1254.</w:t>
      </w:r>
    </w:p>
    <w:p w:rsidR="00C605F3" w:rsidRDefault="00C605F3" w:rsidP="00C605F3">
      <w:pPr>
        <w:autoSpaceDE w:val="0"/>
        <w:autoSpaceDN w:val="0"/>
        <w:adjustRightInd w:val="0"/>
        <w:spacing w:before="100" w:beforeAutospacing="1" w:after="100" w:afterAutospacing="1" w:line="240" w:lineRule="auto"/>
        <w:jc w:val="both"/>
        <w:rPr>
          <w:rFonts w:ascii="Times New Roman" w:hAnsi="Times New Roman"/>
          <w:sz w:val="24"/>
          <w:szCs w:val="24"/>
          <w:lang w:val="en-US"/>
        </w:rPr>
      </w:pPr>
      <w:r w:rsidRPr="00C605F3">
        <w:rPr>
          <w:rFonts w:ascii="Times New Roman" w:hAnsi="Times New Roman"/>
          <w:sz w:val="24"/>
          <w:szCs w:val="24"/>
          <w:lang w:val="en-US" w:eastAsia="fr-FR"/>
        </w:rPr>
        <w:t xml:space="preserve">Giné, X., </w:t>
      </w:r>
      <w:r w:rsidR="0065767A">
        <w:rPr>
          <w:rFonts w:ascii="Times New Roman" w:hAnsi="Times New Roman"/>
          <w:sz w:val="24"/>
          <w:szCs w:val="24"/>
          <w:lang w:val="en-US" w:eastAsia="fr-FR"/>
        </w:rPr>
        <w:t>R. Townsend, and J. Vickery, 2008, “</w:t>
      </w:r>
      <w:r w:rsidRPr="00C605F3">
        <w:rPr>
          <w:rFonts w:ascii="Times New Roman" w:hAnsi="Times New Roman"/>
          <w:sz w:val="24"/>
          <w:szCs w:val="24"/>
          <w:lang w:val="en-US" w:eastAsia="fr-FR"/>
        </w:rPr>
        <w:t>Patterns of Rainfall Insurance Participation in</w:t>
      </w:r>
      <w:r>
        <w:rPr>
          <w:rFonts w:ascii="Times New Roman" w:hAnsi="Times New Roman"/>
          <w:sz w:val="24"/>
          <w:szCs w:val="24"/>
          <w:lang w:val="en-US"/>
        </w:rPr>
        <w:t xml:space="preserve"> </w:t>
      </w:r>
      <w:r w:rsidR="0065767A">
        <w:rPr>
          <w:rFonts w:ascii="Times New Roman" w:hAnsi="Times New Roman"/>
          <w:sz w:val="24"/>
          <w:szCs w:val="24"/>
          <w:lang w:val="en-US" w:eastAsia="fr-FR"/>
        </w:rPr>
        <w:t>Rural India”,</w:t>
      </w:r>
      <w:r w:rsidRPr="00C605F3">
        <w:rPr>
          <w:rFonts w:ascii="Times New Roman" w:hAnsi="Times New Roman"/>
          <w:sz w:val="24"/>
          <w:szCs w:val="24"/>
          <w:lang w:val="en-US" w:eastAsia="fr-FR"/>
        </w:rPr>
        <w:t xml:space="preserve"> </w:t>
      </w:r>
      <w:r w:rsidRPr="00C605F3">
        <w:rPr>
          <w:rFonts w:ascii="Times New Roman" w:hAnsi="Times New Roman"/>
          <w:i/>
          <w:iCs/>
          <w:sz w:val="24"/>
          <w:szCs w:val="24"/>
          <w:lang w:val="en-US" w:eastAsia="fr-FR"/>
        </w:rPr>
        <w:t>World Bank Economic Review</w:t>
      </w:r>
      <w:r w:rsidRPr="00C605F3">
        <w:rPr>
          <w:rFonts w:ascii="Times New Roman" w:hAnsi="Times New Roman"/>
          <w:sz w:val="24"/>
          <w:szCs w:val="24"/>
          <w:lang w:val="en-US" w:eastAsia="fr-FR"/>
        </w:rPr>
        <w:t xml:space="preserve">, </w:t>
      </w:r>
      <w:r w:rsidR="0065767A">
        <w:rPr>
          <w:rFonts w:ascii="Times New Roman" w:hAnsi="Times New Roman"/>
          <w:sz w:val="24"/>
          <w:szCs w:val="24"/>
          <w:lang w:val="en-US" w:eastAsia="fr-FR"/>
        </w:rPr>
        <w:t xml:space="preserve">Vol. </w:t>
      </w:r>
      <w:r w:rsidRPr="0065767A">
        <w:rPr>
          <w:rFonts w:ascii="Times New Roman" w:hAnsi="Times New Roman"/>
          <w:iCs/>
          <w:sz w:val="24"/>
          <w:szCs w:val="24"/>
          <w:lang w:val="en-US" w:eastAsia="fr-FR"/>
        </w:rPr>
        <w:t>22</w:t>
      </w:r>
      <w:r w:rsidR="0065767A">
        <w:rPr>
          <w:rFonts w:ascii="Times New Roman" w:hAnsi="Times New Roman"/>
          <w:sz w:val="24"/>
          <w:szCs w:val="24"/>
          <w:lang w:val="en-US" w:eastAsia="fr-FR"/>
        </w:rPr>
        <w:t>, N°3</w:t>
      </w:r>
      <w:r w:rsidRPr="00C605F3">
        <w:rPr>
          <w:rFonts w:ascii="Times New Roman" w:hAnsi="Times New Roman"/>
          <w:sz w:val="24"/>
          <w:szCs w:val="24"/>
          <w:lang w:val="en-US" w:eastAsia="fr-FR"/>
        </w:rPr>
        <w:t xml:space="preserve">, </w:t>
      </w:r>
      <w:r w:rsidR="0065767A">
        <w:rPr>
          <w:rFonts w:ascii="Times New Roman" w:hAnsi="Times New Roman"/>
          <w:sz w:val="24"/>
          <w:szCs w:val="24"/>
          <w:lang w:val="en-US" w:eastAsia="fr-FR"/>
        </w:rPr>
        <w:t xml:space="preserve">pp. </w:t>
      </w:r>
      <w:r w:rsidRPr="00C605F3">
        <w:rPr>
          <w:rFonts w:ascii="Times New Roman" w:hAnsi="Times New Roman"/>
          <w:sz w:val="24"/>
          <w:szCs w:val="24"/>
          <w:lang w:val="en-US" w:eastAsia="fr-FR"/>
        </w:rPr>
        <w:t>539–</w:t>
      </w:r>
      <w:r w:rsidR="0065767A">
        <w:rPr>
          <w:rFonts w:ascii="Times New Roman" w:hAnsi="Times New Roman"/>
          <w:sz w:val="24"/>
          <w:szCs w:val="24"/>
          <w:lang w:val="en-US" w:eastAsia="fr-FR"/>
        </w:rPr>
        <w:t>5</w:t>
      </w:r>
      <w:r w:rsidRPr="00C605F3">
        <w:rPr>
          <w:rFonts w:ascii="Times New Roman" w:hAnsi="Times New Roman"/>
          <w:sz w:val="24"/>
          <w:szCs w:val="24"/>
          <w:lang w:val="en-US" w:eastAsia="fr-FR"/>
        </w:rPr>
        <w:t>66.</w:t>
      </w:r>
    </w:p>
    <w:p w:rsidR="00C605F3" w:rsidRDefault="0065767A" w:rsidP="00C605F3">
      <w:pPr>
        <w:autoSpaceDE w:val="0"/>
        <w:autoSpaceDN w:val="0"/>
        <w:adjustRightInd w:val="0"/>
        <w:spacing w:before="100" w:beforeAutospacing="1" w:after="100" w:afterAutospacing="1" w:line="240" w:lineRule="auto"/>
        <w:jc w:val="both"/>
        <w:rPr>
          <w:rFonts w:ascii="Times New Roman" w:hAnsi="Times New Roman"/>
          <w:sz w:val="24"/>
          <w:szCs w:val="24"/>
          <w:lang w:val="en-US" w:eastAsia="fr-FR"/>
        </w:rPr>
      </w:pPr>
      <w:r>
        <w:rPr>
          <w:rFonts w:ascii="Times New Roman" w:hAnsi="Times New Roman"/>
          <w:sz w:val="24"/>
          <w:szCs w:val="24"/>
          <w:lang w:val="en-US" w:eastAsia="fr-FR"/>
        </w:rPr>
        <w:t>Ito, S., and H.</w:t>
      </w:r>
      <w:r w:rsidR="008E2089">
        <w:rPr>
          <w:rFonts w:ascii="Times New Roman" w:hAnsi="Times New Roman"/>
          <w:sz w:val="24"/>
          <w:szCs w:val="24"/>
          <w:lang w:val="en-US" w:eastAsia="fr-FR"/>
        </w:rPr>
        <w:t xml:space="preserve"> Ka</w:t>
      </w:r>
      <w:r>
        <w:rPr>
          <w:rFonts w:ascii="Times New Roman" w:hAnsi="Times New Roman"/>
          <w:sz w:val="24"/>
          <w:szCs w:val="24"/>
          <w:lang w:val="en-US" w:eastAsia="fr-FR"/>
        </w:rPr>
        <w:t>no, 2010,</w:t>
      </w:r>
      <w:r w:rsidR="00C605F3" w:rsidRPr="00C605F3">
        <w:rPr>
          <w:rFonts w:ascii="Times New Roman" w:hAnsi="Times New Roman"/>
          <w:sz w:val="24"/>
          <w:szCs w:val="24"/>
          <w:lang w:val="en-US" w:eastAsia="fr-FR"/>
        </w:rPr>
        <w:t xml:space="preserve"> </w:t>
      </w:r>
      <w:r>
        <w:rPr>
          <w:rFonts w:ascii="Times New Roman" w:hAnsi="Times New Roman"/>
          <w:sz w:val="24"/>
          <w:szCs w:val="24"/>
          <w:lang w:val="en-US" w:eastAsia="fr-FR"/>
        </w:rPr>
        <w:t>“</w:t>
      </w:r>
      <w:r w:rsidR="00C605F3" w:rsidRPr="00C605F3">
        <w:rPr>
          <w:rFonts w:ascii="Times New Roman" w:hAnsi="Times New Roman"/>
          <w:sz w:val="24"/>
          <w:szCs w:val="24"/>
          <w:lang w:val="en-US" w:eastAsia="fr-FR"/>
        </w:rPr>
        <w:t xml:space="preserve">Why Is the Take-Up of Microinsurance so Low? </w:t>
      </w:r>
      <w:r w:rsidR="00C605F3" w:rsidRPr="0065767A">
        <w:rPr>
          <w:rFonts w:ascii="Times New Roman" w:hAnsi="Times New Roman"/>
          <w:sz w:val="24"/>
          <w:szCs w:val="24"/>
          <w:lang w:val="en-US" w:eastAsia="fr-FR"/>
        </w:rPr>
        <w:t>Evidence From A</w:t>
      </w:r>
      <w:r w:rsidR="00C605F3">
        <w:rPr>
          <w:rFonts w:ascii="Times New Roman" w:hAnsi="Times New Roman"/>
          <w:sz w:val="24"/>
          <w:szCs w:val="24"/>
          <w:lang w:val="en-US"/>
        </w:rPr>
        <w:t xml:space="preserve"> </w:t>
      </w:r>
      <w:r w:rsidR="00C605F3" w:rsidRPr="00C605F3">
        <w:rPr>
          <w:rFonts w:ascii="Times New Roman" w:hAnsi="Times New Roman"/>
          <w:sz w:val="24"/>
          <w:szCs w:val="24"/>
          <w:lang w:val="en-US" w:eastAsia="fr-FR"/>
        </w:rPr>
        <w:t xml:space="preserve">Health Insurance </w:t>
      </w:r>
      <w:r>
        <w:rPr>
          <w:rFonts w:ascii="Times New Roman" w:hAnsi="Times New Roman"/>
          <w:sz w:val="24"/>
          <w:szCs w:val="24"/>
          <w:lang w:val="en-US" w:eastAsia="fr-FR"/>
        </w:rPr>
        <w:t>Scheme In India”,</w:t>
      </w:r>
      <w:r w:rsidR="00C605F3" w:rsidRPr="00C605F3">
        <w:rPr>
          <w:rFonts w:ascii="Times New Roman" w:hAnsi="Times New Roman"/>
          <w:sz w:val="24"/>
          <w:szCs w:val="24"/>
          <w:lang w:val="en-US" w:eastAsia="fr-FR"/>
        </w:rPr>
        <w:t xml:space="preserve"> </w:t>
      </w:r>
      <w:r w:rsidR="00C605F3" w:rsidRPr="00C605F3">
        <w:rPr>
          <w:rFonts w:ascii="Times New Roman" w:hAnsi="Times New Roman"/>
          <w:i/>
          <w:iCs/>
          <w:sz w:val="24"/>
          <w:szCs w:val="24"/>
          <w:lang w:val="en-US" w:eastAsia="fr-FR"/>
        </w:rPr>
        <w:t>The Developing Economies</w:t>
      </w:r>
      <w:r w:rsidR="00C605F3" w:rsidRPr="00C605F3">
        <w:rPr>
          <w:rFonts w:ascii="Times New Roman" w:hAnsi="Times New Roman"/>
          <w:sz w:val="24"/>
          <w:szCs w:val="24"/>
          <w:lang w:val="en-US" w:eastAsia="fr-FR"/>
        </w:rPr>
        <w:t xml:space="preserve">, </w:t>
      </w:r>
      <w:r>
        <w:rPr>
          <w:rFonts w:ascii="Times New Roman" w:hAnsi="Times New Roman"/>
          <w:sz w:val="24"/>
          <w:szCs w:val="24"/>
          <w:lang w:val="en-US" w:eastAsia="fr-FR"/>
        </w:rPr>
        <w:t xml:space="preserve">Vol. </w:t>
      </w:r>
      <w:r w:rsidR="00C605F3" w:rsidRPr="0065767A">
        <w:rPr>
          <w:rFonts w:ascii="Times New Roman" w:hAnsi="Times New Roman"/>
          <w:iCs/>
          <w:sz w:val="24"/>
          <w:szCs w:val="24"/>
          <w:lang w:val="en-US" w:eastAsia="fr-FR"/>
        </w:rPr>
        <w:t>48</w:t>
      </w:r>
      <w:r>
        <w:rPr>
          <w:rFonts w:ascii="Times New Roman" w:hAnsi="Times New Roman"/>
          <w:sz w:val="24"/>
          <w:szCs w:val="24"/>
          <w:lang w:val="en-US" w:eastAsia="fr-FR"/>
        </w:rPr>
        <w:t>, N°1</w:t>
      </w:r>
      <w:r w:rsidR="00C605F3" w:rsidRPr="00C605F3">
        <w:rPr>
          <w:rFonts w:ascii="Times New Roman" w:hAnsi="Times New Roman"/>
          <w:sz w:val="24"/>
          <w:szCs w:val="24"/>
          <w:lang w:val="en-US" w:eastAsia="fr-FR"/>
        </w:rPr>
        <w:t xml:space="preserve">, </w:t>
      </w:r>
      <w:r>
        <w:rPr>
          <w:rFonts w:ascii="Times New Roman" w:hAnsi="Times New Roman"/>
          <w:sz w:val="24"/>
          <w:szCs w:val="24"/>
          <w:lang w:val="en-US" w:eastAsia="fr-FR"/>
        </w:rPr>
        <w:t xml:space="preserve">pp. </w:t>
      </w:r>
      <w:r w:rsidR="00C605F3" w:rsidRPr="00C605F3">
        <w:rPr>
          <w:rFonts w:ascii="Times New Roman" w:hAnsi="Times New Roman"/>
          <w:sz w:val="24"/>
          <w:szCs w:val="24"/>
          <w:lang w:val="en-US" w:eastAsia="fr-FR"/>
        </w:rPr>
        <w:t>74-101.</w:t>
      </w:r>
    </w:p>
    <w:p w:rsidR="00391768" w:rsidRPr="00511EAE" w:rsidRDefault="00391768" w:rsidP="00C605F3">
      <w:pPr>
        <w:autoSpaceDE w:val="0"/>
        <w:autoSpaceDN w:val="0"/>
        <w:adjustRightInd w:val="0"/>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US" w:eastAsia="fr-FR"/>
        </w:rPr>
        <w:t xml:space="preserve">Johnson, E.J., J. Hershey, J. Meszaros, and H. Kunreuther, 1993. “Framing, Probability Distortions and Insurance Decisions”, </w:t>
      </w:r>
      <w:r w:rsidR="00511EAE">
        <w:rPr>
          <w:rFonts w:ascii="Times New Roman" w:hAnsi="Times New Roman"/>
          <w:i/>
          <w:sz w:val="24"/>
          <w:szCs w:val="24"/>
          <w:lang w:val="en-US" w:eastAsia="fr-FR"/>
        </w:rPr>
        <w:t>Journal of Risk and Uncertainty</w:t>
      </w:r>
      <w:r w:rsidR="00511EAE">
        <w:rPr>
          <w:rFonts w:ascii="Times New Roman" w:hAnsi="Times New Roman"/>
          <w:sz w:val="24"/>
          <w:szCs w:val="24"/>
          <w:lang w:val="en-US" w:eastAsia="fr-FR"/>
        </w:rPr>
        <w:t>, Vol. 7, pp. 35-51.</w:t>
      </w:r>
    </w:p>
    <w:p w:rsidR="009E5DD1" w:rsidRPr="007E1CEC" w:rsidRDefault="009E5DD1" w:rsidP="009E5DD1">
      <w:pPr>
        <w:autoSpaceDE w:val="0"/>
        <w:autoSpaceDN w:val="0"/>
        <w:adjustRightInd w:val="0"/>
        <w:spacing w:after="0" w:line="240" w:lineRule="auto"/>
        <w:jc w:val="both"/>
        <w:rPr>
          <w:rFonts w:ascii="Times New Roman" w:hAnsi="Times New Roman"/>
          <w:sz w:val="24"/>
          <w:szCs w:val="24"/>
          <w:lang w:val="en-US" w:eastAsia="fr-FR"/>
        </w:rPr>
      </w:pPr>
      <w:r>
        <w:rPr>
          <w:rFonts w:ascii="Times New Roman" w:hAnsi="Times New Roman"/>
          <w:sz w:val="24"/>
          <w:szCs w:val="24"/>
          <w:lang w:val="en-US" w:eastAsia="fr-FR"/>
        </w:rPr>
        <w:t>Jutting, J., 2003,</w:t>
      </w:r>
      <w:r w:rsidRPr="00DD2550">
        <w:rPr>
          <w:rFonts w:ascii="Times New Roman" w:hAnsi="Times New Roman"/>
          <w:sz w:val="24"/>
          <w:szCs w:val="24"/>
          <w:lang w:val="en-US" w:eastAsia="fr-FR"/>
        </w:rPr>
        <w:t xml:space="preserve"> </w:t>
      </w:r>
      <w:r>
        <w:rPr>
          <w:rFonts w:ascii="Times New Roman" w:hAnsi="Times New Roman"/>
          <w:sz w:val="24"/>
          <w:szCs w:val="24"/>
          <w:lang w:val="en-US" w:eastAsia="fr-FR"/>
        </w:rPr>
        <w:t>“Do Community-based Health Insurance Schemes Improve Poor P</w:t>
      </w:r>
      <w:r w:rsidRPr="00DD2550">
        <w:rPr>
          <w:rFonts w:ascii="Times New Roman" w:hAnsi="Times New Roman"/>
          <w:sz w:val="24"/>
          <w:szCs w:val="24"/>
          <w:lang w:val="en-US" w:eastAsia="fr-FR"/>
        </w:rPr>
        <w:t>eople’</w:t>
      </w:r>
      <w:r>
        <w:rPr>
          <w:rFonts w:ascii="Times New Roman" w:hAnsi="Times New Roman"/>
          <w:sz w:val="24"/>
          <w:szCs w:val="24"/>
          <w:lang w:val="en-US" w:eastAsia="fr-FR"/>
        </w:rPr>
        <w:t>s Access to Health Care? Evidence from Rural Senegal”,</w:t>
      </w:r>
      <w:r w:rsidRPr="00DD2550">
        <w:rPr>
          <w:rFonts w:ascii="Times New Roman" w:hAnsi="Times New Roman"/>
          <w:sz w:val="24"/>
          <w:szCs w:val="24"/>
          <w:lang w:val="en-US" w:eastAsia="fr-FR"/>
        </w:rPr>
        <w:t xml:space="preserve"> </w:t>
      </w:r>
      <w:r w:rsidRPr="00DD2550">
        <w:rPr>
          <w:rFonts w:ascii="Times New Roman" w:hAnsi="Times New Roman"/>
          <w:i/>
          <w:iCs/>
          <w:sz w:val="24"/>
          <w:szCs w:val="24"/>
          <w:lang w:val="en-US" w:eastAsia="fr-FR"/>
        </w:rPr>
        <w:t>World Development</w:t>
      </w:r>
      <w:r w:rsidRPr="00DD2550">
        <w:rPr>
          <w:rFonts w:ascii="Times New Roman" w:hAnsi="Times New Roman"/>
          <w:sz w:val="24"/>
          <w:szCs w:val="24"/>
          <w:lang w:val="en-US" w:eastAsia="fr-FR"/>
        </w:rPr>
        <w:t xml:space="preserve">, </w:t>
      </w:r>
      <w:r>
        <w:rPr>
          <w:rFonts w:ascii="Times New Roman" w:hAnsi="Times New Roman"/>
          <w:sz w:val="24"/>
          <w:szCs w:val="24"/>
          <w:lang w:val="en-US" w:eastAsia="fr-FR"/>
        </w:rPr>
        <w:t xml:space="preserve">Vol. </w:t>
      </w:r>
      <w:r w:rsidRPr="00DD2550">
        <w:rPr>
          <w:rFonts w:ascii="Times New Roman" w:hAnsi="Times New Roman"/>
          <w:iCs/>
          <w:sz w:val="24"/>
          <w:szCs w:val="24"/>
          <w:lang w:val="en-US" w:eastAsia="fr-FR"/>
        </w:rPr>
        <w:t>32</w:t>
      </w:r>
      <w:r>
        <w:rPr>
          <w:rFonts w:ascii="Times New Roman" w:hAnsi="Times New Roman"/>
          <w:sz w:val="24"/>
          <w:szCs w:val="24"/>
          <w:lang w:val="en-US" w:eastAsia="fr-FR"/>
        </w:rPr>
        <w:t>, N° 2</w:t>
      </w:r>
      <w:r w:rsidRPr="00DD2550">
        <w:rPr>
          <w:rFonts w:ascii="Times New Roman" w:hAnsi="Times New Roman"/>
          <w:sz w:val="24"/>
          <w:szCs w:val="24"/>
          <w:lang w:val="en-US" w:eastAsia="fr-FR"/>
        </w:rPr>
        <w:t>,</w:t>
      </w:r>
      <w:r>
        <w:rPr>
          <w:rFonts w:ascii="Times New Roman" w:hAnsi="Times New Roman"/>
          <w:sz w:val="24"/>
          <w:szCs w:val="24"/>
          <w:lang w:val="en-US" w:eastAsia="fr-FR"/>
        </w:rPr>
        <w:t xml:space="preserve"> pp.</w:t>
      </w:r>
      <w:r w:rsidRPr="00DD2550">
        <w:rPr>
          <w:rFonts w:ascii="Times New Roman" w:hAnsi="Times New Roman"/>
          <w:sz w:val="24"/>
          <w:szCs w:val="24"/>
          <w:lang w:val="en-US" w:eastAsia="fr-FR"/>
        </w:rPr>
        <w:t xml:space="preserve"> 273-288.</w:t>
      </w:r>
    </w:p>
    <w:p w:rsidR="00B71B3E" w:rsidRDefault="00B71B3E" w:rsidP="00B71B3E">
      <w:pPr>
        <w:autoSpaceDE w:val="0"/>
        <w:autoSpaceDN w:val="0"/>
        <w:adjustRightInd w:val="0"/>
        <w:spacing w:before="100" w:beforeAutospacing="1" w:after="100" w:afterAutospacing="1" w:line="240" w:lineRule="auto"/>
        <w:jc w:val="both"/>
        <w:rPr>
          <w:rFonts w:ascii="Times New Roman" w:hAnsi="Times New Roman"/>
          <w:sz w:val="24"/>
          <w:szCs w:val="24"/>
          <w:lang w:val="en-US" w:eastAsia="fr-FR"/>
        </w:rPr>
      </w:pPr>
      <w:r w:rsidRPr="007E1CEC">
        <w:rPr>
          <w:rFonts w:ascii="Times New Roman" w:hAnsi="Times New Roman"/>
          <w:sz w:val="24"/>
          <w:szCs w:val="24"/>
          <w:lang w:val="en-US" w:eastAsia="fr-FR"/>
        </w:rPr>
        <w:t xml:space="preserve">Kahneman, D. and </w:t>
      </w:r>
      <w:r>
        <w:rPr>
          <w:rFonts w:ascii="Times New Roman" w:hAnsi="Times New Roman"/>
          <w:sz w:val="24"/>
          <w:szCs w:val="24"/>
          <w:lang w:val="en-US" w:eastAsia="fr-FR"/>
        </w:rPr>
        <w:t>A. Tversky</w:t>
      </w:r>
      <w:r w:rsidRPr="007E1CEC">
        <w:rPr>
          <w:rFonts w:ascii="Times New Roman" w:hAnsi="Times New Roman"/>
          <w:sz w:val="24"/>
          <w:szCs w:val="24"/>
          <w:lang w:val="en-US" w:eastAsia="fr-FR"/>
        </w:rPr>
        <w:t xml:space="preserve">, 1979. “Prospect Theory: An Analysis of Decision under Risk”, </w:t>
      </w:r>
      <w:r w:rsidRPr="007E1CEC">
        <w:rPr>
          <w:rFonts w:ascii="Times New Roman" w:hAnsi="Times New Roman"/>
          <w:i/>
          <w:sz w:val="24"/>
          <w:szCs w:val="24"/>
          <w:lang w:val="en-US" w:eastAsia="fr-FR"/>
        </w:rPr>
        <w:t>Econometrica</w:t>
      </w:r>
      <w:r w:rsidR="00AE78A2">
        <w:rPr>
          <w:rFonts w:ascii="Times New Roman" w:hAnsi="Times New Roman"/>
          <w:i/>
          <w:sz w:val="24"/>
          <w:szCs w:val="24"/>
          <w:lang w:val="en-US" w:eastAsia="fr-FR"/>
        </w:rPr>
        <w:t xml:space="preserve">, </w:t>
      </w:r>
      <w:r w:rsidR="00AE78A2">
        <w:rPr>
          <w:rFonts w:ascii="Times New Roman" w:hAnsi="Times New Roman"/>
          <w:sz w:val="24"/>
          <w:szCs w:val="24"/>
          <w:lang w:val="en-US" w:eastAsia="fr-FR"/>
        </w:rPr>
        <w:t>Vol.</w:t>
      </w:r>
      <w:r w:rsidRPr="007E1CEC">
        <w:rPr>
          <w:rFonts w:ascii="Times New Roman" w:hAnsi="Times New Roman"/>
          <w:sz w:val="24"/>
          <w:szCs w:val="24"/>
          <w:lang w:val="en-US" w:eastAsia="fr-FR"/>
        </w:rPr>
        <w:t xml:space="preserve"> 47, </w:t>
      </w:r>
      <w:r w:rsidR="00AE78A2">
        <w:rPr>
          <w:rFonts w:ascii="Times New Roman" w:hAnsi="Times New Roman"/>
          <w:sz w:val="24"/>
          <w:szCs w:val="24"/>
          <w:lang w:val="en-US" w:eastAsia="fr-FR"/>
        </w:rPr>
        <w:t xml:space="preserve">pp. </w:t>
      </w:r>
      <w:r w:rsidRPr="007E1CEC">
        <w:rPr>
          <w:rFonts w:ascii="Times New Roman" w:hAnsi="Times New Roman"/>
          <w:sz w:val="24"/>
          <w:szCs w:val="24"/>
          <w:lang w:val="en-US" w:eastAsia="fr-FR"/>
        </w:rPr>
        <w:t xml:space="preserve">263-91. </w:t>
      </w:r>
    </w:p>
    <w:p w:rsidR="00911AA5" w:rsidRPr="00911AA5" w:rsidRDefault="00911AA5" w:rsidP="00B71B3E">
      <w:pPr>
        <w:autoSpaceDE w:val="0"/>
        <w:autoSpaceDN w:val="0"/>
        <w:adjustRightInd w:val="0"/>
        <w:spacing w:before="100" w:beforeAutospacing="1" w:after="100" w:afterAutospacing="1" w:line="240" w:lineRule="auto"/>
        <w:jc w:val="both"/>
        <w:rPr>
          <w:rFonts w:ascii="Times New Roman" w:hAnsi="Times New Roman"/>
          <w:sz w:val="24"/>
          <w:szCs w:val="24"/>
          <w:lang w:val="en-US" w:eastAsia="fr-FR"/>
        </w:rPr>
      </w:pPr>
      <w:r w:rsidRPr="00911AA5">
        <w:rPr>
          <w:rFonts w:ascii="Times New Roman" w:hAnsi="Times New Roman"/>
          <w:sz w:val="24"/>
          <w:szCs w:val="24"/>
          <w:lang w:val="en-US" w:eastAsia="fr-FR"/>
        </w:rPr>
        <w:t xml:space="preserve">Karlan, D., R. Osei, I. Osei-Akoto, and C. </w:t>
      </w:r>
      <w:r>
        <w:rPr>
          <w:rFonts w:ascii="Times New Roman" w:hAnsi="Times New Roman"/>
          <w:sz w:val="24"/>
          <w:szCs w:val="24"/>
          <w:lang w:val="en-US" w:eastAsia="fr-FR"/>
        </w:rPr>
        <w:t>Udry, 2013. “Agricultural Decisions after Relaxing  Credit and Risk Constraints”, Mimeo.</w:t>
      </w:r>
    </w:p>
    <w:p w:rsidR="00092998" w:rsidRPr="00092998" w:rsidRDefault="00092998" w:rsidP="00B71B3E">
      <w:pPr>
        <w:autoSpaceDE w:val="0"/>
        <w:autoSpaceDN w:val="0"/>
        <w:adjustRightInd w:val="0"/>
        <w:spacing w:before="100" w:beforeAutospacing="1" w:after="100" w:afterAutospacing="1" w:line="240" w:lineRule="auto"/>
        <w:jc w:val="both"/>
        <w:rPr>
          <w:rFonts w:ascii="Times New Roman" w:hAnsi="Times New Roman"/>
          <w:sz w:val="24"/>
          <w:szCs w:val="24"/>
          <w:lang w:val="en-US" w:eastAsia="fr-FR"/>
        </w:rPr>
      </w:pPr>
      <w:r>
        <w:rPr>
          <w:rFonts w:ascii="Times New Roman" w:hAnsi="Times New Roman"/>
          <w:sz w:val="24"/>
          <w:szCs w:val="24"/>
          <w:lang w:val="en-US" w:eastAsia="fr-FR"/>
        </w:rPr>
        <w:t xml:space="preserve">Kunreuther, H.C., M.V. Pauly, and S. McMorrow, 2013, </w:t>
      </w:r>
      <w:r>
        <w:rPr>
          <w:rFonts w:ascii="Times New Roman" w:hAnsi="Times New Roman"/>
          <w:i/>
          <w:sz w:val="24"/>
          <w:szCs w:val="24"/>
          <w:lang w:val="en-US" w:eastAsia="fr-FR"/>
        </w:rPr>
        <w:t xml:space="preserve">Insurance and Behavioral Economics ─ Improving Decisions in the Most Misunderstood Industry, </w:t>
      </w:r>
      <w:r>
        <w:rPr>
          <w:rFonts w:ascii="Times New Roman" w:hAnsi="Times New Roman"/>
          <w:sz w:val="24"/>
          <w:szCs w:val="24"/>
          <w:lang w:val="en-US" w:eastAsia="fr-FR"/>
        </w:rPr>
        <w:t>Cambridge: Cambridge University Press.</w:t>
      </w:r>
    </w:p>
    <w:p w:rsidR="00B71B3E" w:rsidRPr="007E1CEC" w:rsidRDefault="00B71B3E" w:rsidP="00B71B3E">
      <w:pPr>
        <w:spacing w:before="100" w:beforeAutospacing="1" w:after="100" w:afterAutospacing="1" w:line="240" w:lineRule="auto"/>
        <w:jc w:val="both"/>
        <w:rPr>
          <w:rFonts w:ascii="Times New Roman" w:hAnsi="Times New Roman"/>
          <w:color w:val="000000"/>
          <w:sz w:val="24"/>
          <w:szCs w:val="24"/>
          <w:lang w:val="en-US"/>
        </w:rPr>
      </w:pPr>
      <w:r w:rsidRPr="007E1CEC">
        <w:rPr>
          <w:rFonts w:ascii="Times New Roman" w:hAnsi="Times New Roman"/>
          <w:sz w:val="24"/>
          <w:szCs w:val="24"/>
          <w:lang w:val="en-US"/>
        </w:rPr>
        <w:t xml:space="preserve">Leatherman S., </w:t>
      </w:r>
      <w:r>
        <w:rPr>
          <w:rFonts w:ascii="Times New Roman" w:hAnsi="Times New Roman"/>
          <w:sz w:val="24"/>
          <w:szCs w:val="24"/>
          <w:lang w:val="en-US"/>
        </w:rPr>
        <w:t>L. Jones</w:t>
      </w:r>
      <w:r w:rsidRPr="007E1CEC">
        <w:rPr>
          <w:rFonts w:ascii="Times New Roman" w:hAnsi="Times New Roman"/>
          <w:sz w:val="24"/>
          <w:szCs w:val="24"/>
          <w:lang w:val="en-US"/>
        </w:rPr>
        <w:t xml:space="preserve">, and </w:t>
      </w:r>
      <w:r>
        <w:rPr>
          <w:rFonts w:ascii="Times New Roman" w:hAnsi="Times New Roman"/>
          <w:sz w:val="24"/>
          <w:szCs w:val="24"/>
          <w:lang w:val="en-US"/>
        </w:rPr>
        <w:t>J.</w:t>
      </w:r>
      <w:r w:rsidRPr="007E1CEC">
        <w:rPr>
          <w:rFonts w:ascii="Times New Roman" w:hAnsi="Times New Roman"/>
          <w:sz w:val="24"/>
          <w:szCs w:val="24"/>
          <w:lang w:val="en-US"/>
        </w:rPr>
        <w:t xml:space="preserve"> Holtz C., 2010. “Innovations and Barriers in Health Microinsurance”, ILO Microinsurance Innovation Facility Research Paper, Geneva</w:t>
      </w:r>
      <w:r w:rsidRPr="007E1CEC">
        <w:rPr>
          <w:rFonts w:ascii="Times New Roman" w:hAnsi="Times New Roman"/>
          <w:color w:val="000000"/>
          <w:sz w:val="24"/>
          <w:szCs w:val="24"/>
          <w:lang w:val="en-US"/>
        </w:rPr>
        <w:t>.</w:t>
      </w:r>
    </w:p>
    <w:p w:rsidR="00B71B3E" w:rsidRDefault="00B71B3E" w:rsidP="00B71B3E">
      <w:pPr>
        <w:spacing w:before="100" w:beforeAutospacing="1" w:after="100" w:afterAutospacing="1" w:line="240" w:lineRule="auto"/>
        <w:contextualSpacing/>
        <w:jc w:val="both"/>
        <w:rPr>
          <w:rFonts w:ascii="Times New Roman" w:hAnsi="Times New Roman"/>
          <w:color w:val="000000"/>
          <w:sz w:val="24"/>
          <w:szCs w:val="24"/>
          <w:lang w:val="en-US"/>
        </w:rPr>
      </w:pPr>
      <w:r w:rsidRPr="008573BE">
        <w:rPr>
          <w:rFonts w:ascii="Times New Roman" w:hAnsi="Times New Roman"/>
          <w:color w:val="000000"/>
          <w:sz w:val="24"/>
          <w:szCs w:val="24"/>
          <w:lang w:val="en-US"/>
        </w:rPr>
        <w:t xml:space="preserve">Lewbel </w:t>
      </w:r>
      <w:r>
        <w:rPr>
          <w:rFonts w:ascii="Times New Roman" w:hAnsi="Times New Roman"/>
          <w:color w:val="000000"/>
          <w:sz w:val="24"/>
          <w:szCs w:val="24"/>
          <w:lang w:val="en-US"/>
        </w:rPr>
        <w:t xml:space="preserve">A., </w:t>
      </w:r>
      <w:r w:rsidRPr="008573BE">
        <w:rPr>
          <w:rFonts w:ascii="Times New Roman" w:hAnsi="Times New Roman"/>
          <w:color w:val="000000"/>
          <w:sz w:val="24"/>
          <w:szCs w:val="24"/>
          <w:lang w:val="en-US"/>
        </w:rPr>
        <w:t>2012</w:t>
      </w:r>
      <w:r w:rsidRPr="004B7C3E">
        <w:rPr>
          <w:rFonts w:ascii="Times New Roman" w:hAnsi="Times New Roman"/>
          <w:color w:val="000000"/>
          <w:sz w:val="24"/>
          <w:szCs w:val="24"/>
          <w:lang w:val="en-US"/>
        </w:rPr>
        <w:t xml:space="preserve">. </w:t>
      </w:r>
      <w:r>
        <w:rPr>
          <w:rFonts w:ascii="Times New Roman" w:hAnsi="Times New Roman"/>
          <w:color w:val="000000"/>
          <w:sz w:val="24"/>
          <w:szCs w:val="24"/>
          <w:lang w:val="en-US"/>
        </w:rPr>
        <w:t>“Using Heteroskedasticity to Identify and Estimate M</w:t>
      </w:r>
      <w:r w:rsidRPr="004B7C3E">
        <w:rPr>
          <w:rFonts w:ascii="Times New Roman" w:hAnsi="Times New Roman"/>
          <w:color w:val="000000"/>
          <w:sz w:val="24"/>
          <w:szCs w:val="24"/>
          <w:lang w:val="en-US"/>
        </w:rPr>
        <w:t>ismeasured and</w:t>
      </w:r>
      <w:r>
        <w:rPr>
          <w:rFonts w:ascii="Times New Roman" w:hAnsi="Times New Roman"/>
          <w:color w:val="000000"/>
          <w:sz w:val="24"/>
          <w:szCs w:val="24"/>
          <w:lang w:val="en-US"/>
        </w:rPr>
        <w:t xml:space="preserve"> Endogenous Regressor M</w:t>
      </w:r>
      <w:r w:rsidRPr="004B7C3E">
        <w:rPr>
          <w:rFonts w:ascii="Times New Roman" w:hAnsi="Times New Roman"/>
          <w:color w:val="000000"/>
          <w:sz w:val="24"/>
          <w:szCs w:val="24"/>
          <w:lang w:val="en-US"/>
        </w:rPr>
        <w:t>odels</w:t>
      </w:r>
      <w:r>
        <w:rPr>
          <w:rFonts w:ascii="Times New Roman" w:hAnsi="Times New Roman"/>
          <w:color w:val="000000"/>
          <w:sz w:val="24"/>
          <w:szCs w:val="24"/>
          <w:lang w:val="en-US"/>
        </w:rPr>
        <w:t>”</w:t>
      </w:r>
      <w:r w:rsidRPr="004B7C3E">
        <w:rPr>
          <w:rFonts w:ascii="Times New Roman" w:hAnsi="Times New Roman"/>
          <w:color w:val="000000"/>
          <w:sz w:val="24"/>
          <w:szCs w:val="24"/>
          <w:lang w:val="en-US"/>
        </w:rPr>
        <w:t xml:space="preserve">. </w:t>
      </w:r>
      <w:r w:rsidRPr="00294E1F">
        <w:rPr>
          <w:rFonts w:ascii="Times New Roman" w:hAnsi="Times New Roman"/>
          <w:i/>
          <w:color w:val="000000"/>
          <w:sz w:val="24"/>
          <w:szCs w:val="24"/>
          <w:lang w:val="en-US"/>
        </w:rPr>
        <w:t>Journal of Business and Economic Statistics</w:t>
      </w:r>
      <w:r w:rsidR="00AE78A2">
        <w:rPr>
          <w:rFonts w:ascii="Times New Roman" w:hAnsi="Times New Roman"/>
          <w:color w:val="000000"/>
          <w:sz w:val="24"/>
          <w:szCs w:val="24"/>
          <w:lang w:val="en-US"/>
        </w:rPr>
        <w:t xml:space="preserve">, Vol. </w:t>
      </w:r>
      <w:r w:rsidRPr="004B7C3E">
        <w:rPr>
          <w:rFonts w:ascii="Times New Roman" w:hAnsi="Times New Roman"/>
          <w:color w:val="000000"/>
          <w:sz w:val="24"/>
          <w:szCs w:val="24"/>
          <w:lang w:val="en-US"/>
        </w:rPr>
        <w:t xml:space="preserve">30, </w:t>
      </w:r>
      <w:r w:rsidR="00AE78A2">
        <w:rPr>
          <w:rFonts w:ascii="Times New Roman" w:hAnsi="Times New Roman"/>
          <w:color w:val="000000"/>
          <w:sz w:val="24"/>
          <w:szCs w:val="24"/>
          <w:lang w:val="en-US"/>
        </w:rPr>
        <w:t xml:space="preserve">pp. </w:t>
      </w:r>
      <w:r w:rsidRPr="004B7C3E">
        <w:rPr>
          <w:rFonts w:ascii="Times New Roman" w:hAnsi="Times New Roman"/>
          <w:color w:val="000000"/>
          <w:sz w:val="24"/>
          <w:szCs w:val="24"/>
          <w:lang w:val="en-US"/>
        </w:rPr>
        <w:t>67-80</w:t>
      </w:r>
      <w:r>
        <w:rPr>
          <w:rFonts w:ascii="Times New Roman" w:hAnsi="Times New Roman"/>
          <w:color w:val="000000"/>
          <w:sz w:val="24"/>
          <w:szCs w:val="24"/>
          <w:lang w:val="en-US"/>
        </w:rPr>
        <w:t>.</w:t>
      </w:r>
    </w:p>
    <w:p w:rsidR="00B71B3E" w:rsidRDefault="00B71B3E" w:rsidP="00B71B3E">
      <w:pPr>
        <w:spacing w:before="100" w:beforeAutospacing="1" w:after="100" w:afterAutospacing="1" w:line="240" w:lineRule="auto"/>
        <w:contextualSpacing/>
        <w:jc w:val="both"/>
        <w:rPr>
          <w:rFonts w:ascii="Times New Roman" w:hAnsi="Times New Roman"/>
          <w:color w:val="000000"/>
          <w:sz w:val="24"/>
          <w:szCs w:val="24"/>
          <w:lang w:val="en-US"/>
        </w:rPr>
      </w:pPr>
    </w:p>
    <w:p w:rsidR="00B71B3E" w:rsidRDefault="00B71B3E" w:rsidP="00B71B3E">
      <w:pPr>
        <w:spacing w:before="100" w:beforeAutospacing="1" w:after="100" w:afterAutospacing="1" w:line="240" w:lineRule="auto"/>
        <w:jc w:val="both"/>
        <w:rPr>
          <w:rFonts w:ascii="Times New Roman" w:hAnsi="Times New Roman"/>
          <w:sz w:val="24"/>
          <w:szCs w:val="24"/>
          <w:lang w:val="en-US"/>
        </w:rPr>
      </w:pPr>
      <w:r w:rsidRPr="00552F9B">
        <w:rPr>
          <w:rFonts w:ascii="Times New Roman" w:hAnsi="Times New Roman"/>
          <w:sz w:val="24"/>
          <w:szCs w:val="24"/>
          <w:lang w:val="en-US"/>
        </w:rPr>
        <w:t xml:space="preserve">Loomes, G., and R. Sugden, 1982. “Regret Theory: An Alternative Theory of Rational Choice under Uncertainty”, </w:t>
      </w:r>
      <w:r w:rsidRPr="00552F9B">
        <w:rPr>
          <w:rFonts w:ascii="Times New Roman" w:hAnsi="Times New Roman"/>
          <w:i/>
          <w:sz w:val="24"/>
          <w:szCs w:val="24"/>
          <w:lang w:val="en-US"/>
        </w:rPr>
        <w:t>Economic Journal</w:t>
      </w:r>
      <w:r w:rsidR="00AE78A2" w:rsidRPr="00552F9B">
        <w:rPr>
          <w:rFonts w:ascii="Times New Roman" w:hAnsi="Times New Roman"/>
          <w:i/>
          <w:sz w:val="24"/>
          <w:szCs w:val="24"/>
          <w:lang w:val="en-US"/>
        </w:rPr>
        <w:t>,</w:t>
      </w:r>
      <w:r w:rsidRPr="00552F9B">
        <w:rPr>
          <w:rFonts w:ascii="Times New Roman" w:hAnsi="Times New Roman"/>
          <w:sz w:val="24"/>
          <w:szCs w:val="24"/>
          <w:lang w:val="en-US"/>
        </w:rPr>
        <w:t xml:space="preserve"> </w:t>
      </w:r>
      <w:r w:rsidR="00AE78A2" w:rsidRPr="00552F9B">
        <w:rPr>
          <w:rFonts w:ascii="Times New Roman" w:hAnsi="Times New Roman"/>
          <w:sz w:val="24"/>
          <w:szCs w:val="24"/>
          <w:lang w:val="en-US"/>
        </w:rPr>
        <w:t xml:space="preserve">Vol. </w:t>
      </w:r>
      <w:r w:rsidRPr="00552F9B">
        <w:rPr>
          <w:rFonts w:ascii="Times New Roman" w:hAnsi="Times New Roman"/>
          <w:sz w:val="24"/>
          <w:szCs w:val="24"/>
          <w:lang w:val="en-US"/>
        </w:rPr>
        <w:t xml:space="preserve">92, </w:t>
      </w:r>
      <w:r w:rsidR="00AE78A2" w:rsidRPr="00552F9B">
        <w:rPr>
          <w:rFonts w:ascii="Times New Roman" w:hAnsi="Times New Roman"/>
          <w:sz w:val="24"/>
          <w:szCs w:val="24"/>
          <w:lang w:val="en-US"/>
        </w:rPr>
        <w:t xml:space="preserve">pp. </w:t>
      </w:r>
      <w:r w:rsidRPr="00552F9B">
        <w:rPr>
          <w:rFonts w:ascii="Times New Roman" w:hAnsi="Times New Roman"/>
          <w:sz w:val="24"/>
          <w:szCs w:val="24"/>
          <w:lang w:val="en-US"/>
        </w:rPr>
        <w:t>805-24.</w:t>
      </w:r>
    </w:p>
    <w:p w:rsidR="00792113" w:rsidRDefault="00792113" w:rsidP="00B71B3E">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US"/>
        </w:rPr>
        <w:t>Lusardi, A., and O.S. Mitchell, 2009, “How Ordinary Consumers Make Complex Economic Decisions: Financial Literacy and Retirement Readiness”, Working Paper, Dartmouth College, USA.</w:t>
      </w:r>
    </w:p>
    <w:p w:rsidR="00E70339" w:rsidRDefault="00E70339" w:rsidP="00B71B3E">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US"/>
        </w:rPr>
        <w:t>Lusardi</w:t>
      </w:r>
      <w:r w:rsidR="00792113">
        <w:rPr>
          <w:rFonts w:ascii="Times New Roman" w:hAnsi="Times New Roman"/>
          <w:sz w:val="24"/>
          <w:szCs w:val="24"/>
          <w:lang w:val="en-US"/>
        </w:rPr>
        <w:t>, A., O.S. Mitchell, and V. Curto, 2009, “Financial Literacy and Financial Sophistication among Older Americans”, Working Paper, Dartmouth College, USA.</w:t>
      </w:r>
    </w:p>
    <w:p w:rsidR="001C2CB4" w:rsidRPr="001C2CB4" w:rsidRDefault="001C2CB4" w:rsidP="00B71B3E">
      <w:pPr>
        <w:spacing w:before="100" w:beforeAutospacing="1" w:after="100" w:afterAutospacing="1"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Lybbert, T.J., </w:t>
      </w:r>
      <w:r w:rsidRPr="0066279F">
        <w:rPr>
          <w:rFonts w:ascii="Times New Roman" w:hAnsi="Times New Roman"/>
          <w:color w:val="000000"/>
          <w:sz w:val="24"/>
          <w:szCs w:val="24"/>
          <w:lang w:val="en-US"/>
        </w:rPr>
        <w:t>F. Galarza,</w:t>
      </w:r>
      <w:r>
        <w:rPr>
          <w:rFonts w:ascii="Times New Roman" w:hAnsi="Times New Roman"/>
          <w:color w:val="000000"/>
          <w:sz w:val="24"/>
          <w:szCs w:val="24"/>
          <w:lang w:val="en-US"/>
        </w:rPr>
        <w:t xml:space="preserve"> </w:t>
      </w:r>
      <w:r w:rsidRPr="0066279F">
        <w:rPr>
          <w:rFonts w:ascii="Times New Roman" w:hAnsi="Times New Roman"/>
          <w:color w:val="000000"/>
          <w:sz w:val="24"/>
          <w:szCs w:val="24"/>
          <w:lang w:val="en-US"/>
        </w:rPr>
        <w:t xml:space="preserve">J. </w:t>
      </w:r>
      <w:r>
        <w:rPr>
          <w:rFonts w:ascii="Times New Roman" w:hAnsi="Times New Roman"/>
          <w:color w:val="000000"/>
          <w:sz w:val="24"/>
          <w:szCs w:val="24"/>
          <w:lang w:val="en-US"/>
        </w:rPr>
        <w:t>McPeak</w:t>
      </w:r>
      <w:r w:rsidRPr="0066279F">
        <w:rPr>
          <w:rFonts w:ascii="Times New Roman" w:hAnsi="Times New Roman"/>
          <w:color w:val="000000"/>
          <w:sz w:val="24"/>
          <w:szCs w:val="24"/>
          <w:lang w:val="en-US"/>
        </w:rPr>
        <w:t>, C.B. Barrett, S. Boucher,</w:t>
      </w:r>
      <w:r>
        <w:rPr>
          <w:rFonts w:ascii="Times New Roman" w:hAnsi="Times New Roman"/>
          <w:color w:val="000000"/>
          <w:sz w:val="24"/>
          <w:szCs w:val="24"/>
          <w:lang w:val="en-US"/>
        </w:rPr>
        <w:t xml:space="preserve"> M.R. Carter,</w:t>
      </w:r>
      <w:r w:rsidRPr="0066279F">
        <w:rPr>
          <w:rFonts w:ascii="Times New Roman" w:hAnsi="Times New Roman"/>
          <w:color w:val="000000"/>
          <w:sz w:val="24"/>
          <w:szCs w:val="24"/>
          <w:lang w:val="en-US"/>
        </w:rPr>
        <w:t xml:space="preserve"> S. Chantarat, </w:t>
      </w:r>
      <w:r>
        <w:rPr>
          <w:rFonts w:ascii="Times New Roman" w:hAnsi="Times New Roman"/>
          <w:color w:val="000000"/>
          <w:sz w:val="24"/>
          <w:szCs w:val="24"/>
          <w:lang w:val="en-US"/>
        </w:rPr>
        <w:t xml:space="preserve">A. Fadlaoui, and </w:t>
      </w:r>
      <w:r w:rsidRPr="0066279F">
        <w:rPr>
          <w:rFonts w:ascii="Times New Roman" w:hAnsi="Times New Roman"/>
          <w:color w:val="000000"/>
          <w:sz w:val="24"/>
          <w:szCs w:val="24"/>
          <w:lang w:val="en-US"/>
        </w:rPr>
        <w:t xml:space="preserve">A. Mude, </w:t>
      </w:r>
      <w:r>
        <w:rPr>
          <w:rFonts w:ascii="Times New Roman" w:hAnsi="Times New Roman"/>
          <w:color w:val="000000"/>
          <w:sz w:val="24"/>
          <w:szCs w:val="24"/>
          <w:lang w:val="en-US"/>
        </w:rPr>
        <w:t xml:space="preserve">2010. “Dynamic Field Experiments in Development Economics: Risk Valuation in Morocco, Kenya, and Peru”, </w:t>
      </w:r>
      <w:r>
        <w:rPr>
          <w:rFonts w:ascii="Times New Roman" w:hAnsi="Times New Roman"/>
          <w:i/>
          <w:color w:val="000000"/>
          <w:sz w:val="24"/>
          <w:szCs w:val="24"/>
          <w:lang w:val="en-US"/>
        </w:rPr>
        <w:t xml:space="preserve">Agricultural and Resource Economics Review, </w:t>
      </w:r>
      <w:r>
        <w:rPr>
          <w:rFonts w:ascii="Times New Roman" w:hAnsi="Times New Roman"/>
          <w:color w:val="000000"/>
          <w:sz w:val="24"/>
          <w:szCs w:val="24"/>
          <w:lang w:val="en-US"/>
        </w:rPr>
        <w:t>Vol. 39, N° 2, pp. 1-17.</w:t>
      </w:r>
    </w:p>
    <w:p w:rsidR="00B71B3E" w:rsidRPr="00552F9B" w:rsidRDefault="00B71B3E" w:rsidP="00B71B3E">
      <w:pPr>
        <w:spacing w:before="100" w:beforeAutospacing="1" w:after="100" w:afterAutospacing="1" w:line="240" w:lineRule="auto"/>
        <w:jc w:val="both"/>
        <w:rPr>
          <w:rFonts w:ascii="Times New Roman" w:hAnsi="Times New Roman"/>
          <w:sz w:val="24"/>
          <w:szCs w:val="24"/>
          <w:lang w:val="en-US"/>
        </w:rPr>
      </w:pPr>
      <w:r w:rsidRPr="00552F9B">
        <w:rPr>
          <w:rFonts w:ascii="Times New Roman" w:hAnsi="Times New Roman"/>
          <w:sz w:val="24"/>
          <w:szCs w:val="24"/>
          <w:lang w:val="en-US"/>
        </w:rPr>
        <w:t xml:space="preserve">Platteau, J.-P., 1997. “Mutual Insurance as an Elusive Concept in Traditional Rural Communities”, </w:t>
      </w:r>
      <w:r w:rsidRPr="00552F9B">
        <w:rPr>
          <w:rFonts w:ascii="Times New Roman" w:hAnsi="Times New Roman"/>
          <w:i/>
          <w:sz w:val="24"/>
          <w:szCs w:val="24"/>
          <w:lang w:val="en-US"/>
        </w:rPr>
        <w:t>Journal of Development Studies</w:t>
      </w:r>
      <w:r w:rsidR="00AE78A2" w:rsidRPr="00552F9B">
        <w:rPr>
          <w:rFonts w:ascii="Times New Roman" w:hAnsi="Times New Roman"/>
          <w:i/>
          <w:sz w:val="24"/>
          <w:szCs w:val="24"/>
          <w:lang w:val="en-US"/>
        </w:rPr>
        <w:t xml:space="preserve">, </w:t>
      </w:r>
      <w:r w:rsidR="00AE78A2" w:rsidRPr="00552F9B">
        <w:rPr>
          <w:rFonts w:ascii="Times New Roman" w:hAnsi="Times New Roman"/>
          <w:sz w:val="24"/>
          <w:szCs w:val="24"/>
          <w:lang w:val="en-US"/>
        </w:rPr>
        <w:t>Vol.</w:t>
      </w:r>
      <w:r w:rsidRPr="00552F9B">
        <w:rPr>
          <w:rFonts w:ascii="Times New Roman" w:hAnsi="Times New Roman"/>
          <w:sz w:val="24"/>
          <w:szCs w:val="24"/>
          <w:lang w:val="en-US"/>
        </w:rPr>
        <w:t xml:space="preserve"> 33, </w:t>
      </w:r>
      <w:r w:rsidR="00AE78A2" w:rsidRPr="00552F9B">
        <w:rPr>
          <w:rFonts w:ascii="Times New Roman" w:hAnsi="Times New Roman"/>
          <w:sz w:val="24"/>
          <w:szCs w:val="24"/>
          <w:lang w:val="en-US"/>
        </w:rPr>
        <w:t xml:space="preserve">pp. </w:t>
      </w:r>
      <w:r w:rsidRPr="00552F9B">
        <w:rPr>
          <w:rFonts w:ascii="Times New Roman" w:hAnsi="Times New Roman"/>
          <w:sz w:val="24"/>
          <w:szCs w:val="24"/>
          <w:lang w:val="en-US"/>
        </w:rPr>
        <w:t>764-796.</w:t>
      </w:r>
    </w:p>
    <w:p w:rsidR="00EF5A10" w:rsidRPr="00552F9B" w:rsidRDefault="00EF5A10" w:rsidP="00EF5A10">
      <w:pPr>
        <w:tabs>
          <w:tab w:val="left" w:pos="360"/>
        </w:tabs>
        <w:ind w:right="250"/>
        <w:jc w:val="both"/>
        <w:rPr>
          <w:rFonts w:ascii="Times New Roman" w:hAnsi="Times New Roman"/>
          <w:sz w:val="24"/>
          <w:szCs w:val="24"/>
          <w:lang w:val="en-US"/>
        </w:rPr>
      </w:pPr>
      <w:r w:rsidRPr="00552F9B">
        <w:rPr>
          <w:rFonts w:ascii="Times New Roman" w:hAnsi="Times New Roman"/>
          <w:sz w:val="24"/>
          <w:szCs w:val="24"/>
          <w:lang w:val="en-US"/>
        </w:rPr>
        <w:t xml:space="preserve">Platteau, J.-P., 1991, “Traditional Systems of Social Security and Hunger Insurance: Past Achievements and Modern Challenges”, in E. Ahmad, J. Drèze, J. Hills and A.K. Sen (eds.), </w:t>
      </w:r>
      <w:r w:rsidRPr="00552F9B">
        <w:rPr>
          <w:rFonts w:ascii="Times New Roman" w:hAnsi="Times New Roman"/>
          <w:i/>
          <w:sz w:val="24"/>
          <w:szCs w:val="24"/>
          <w:lang w:val="en-US"/>
        </w:rPr>
        <w:t xml:space="preserve">Social Security in Developing Countries, </w:t>
      </w:r>
      <w:r w:rsidRPr="00552F9B">
        <w:rPr>
          <w:rFonts w:ascii="Times New Roman" w:hAnsi="Times New Roman"/>
          <w:sz w:val="24"/>
          <w:szCs w:val="24"/>
          <w:lang w:val="en-US"/>
        </w:rPr>
        <w:t>Clarendon Press, Oxford, pp. 112-170.</w:t>
      </w:r>
    </w:p>
    <w:p w:rsidR="00EF5A10" w:rsidRDefault="00EF5A10" w:rsidP="00EF5A10">
      <w:pPr>
        <w:tabs>
          <w:tab w:val="left" w:pos="360"/>
        </w:tabs>
        <w:ind w:right="250"/>
        <w:jc w:val="both"/>
        <w:rPr>
          <w:rFonts w:ascii="Times New Roman" w:hAnsi="Times New Roman"/>
          <w:sz w:val="24"/>
          <w:szCs w:val="24"/>
          <w:lang w:val="en-US"/>
        </w:rPr>
      </w:pPr>
      <w:r w:rsidRPr="00552F9B">
        <w:rPr>
          <w:rFonts w:ascii="Times New Roman" w:hAnsi="Times New Roman"/>
          <w:sz w:val="24"/>
          <w:szCs w:val="24"/>
          <w:lang w:val="en-US"/>
        </w:rPr>
        <w:t xml:space="preserve">Platteau, J.-P., 1987, “An Inquiry into Quasi-credit Contracts: The Role of Reciprocal Credit and Interlinked Deals in Small-scale Fishermen Communities”, (with A. Abraham), </w:t>
      </w:r>
      <w:r w:rsidRPr="00552F9B">
        <w:rPr>
          <w:rFonts w:ascii="Times New Roman" w:hAnsi="Times New Roman"/>
          <w:i/>
          <w:sz w:val="24"/>
          <w:szCs w:val="24"/>
          <w:lang w:val="en-US"/>
        </w:rPr>
        <w:t xml:space="preserve">Journal of Development Studies, </w:t>
      </w:r>
      <w:r w:rsidRPr="00552F9B">
        <w:rPr>
          <w:rFonts w:ascii="Times New Roman" w:hAnsi="Times New Roman"/>
          <w:sz w:val="24"/>
          <w:szCs w:val="24"/>
          <w:lang w:val="en-US"/>
        </w:rPr>
        <w:t>Vol. 23, N° 4, pp. 461-90.</w:t>
      </w:r>
    </w:p>
    <w:p w:rsidR="00F57A14" w:rsidRDefault="00F57A14" w:rsidP="00F57A14">
      <w:pPr>
        <w:autoSpaceDE w:val="0"/>
        <w:autoSpaceDN w:val="0"/>
        <w:adjustRightInd w:val="0"/>
        <w:spacing w:after="0" w:line="240" w:lineRule="auto"/>
        <w:jc w:val="both"/>
        <w:rPr>
          <w:rFonts w:ascii="Times New Roman" w:hAnsi="Times New Roman"/>
          <w:sz w:val="24"/>
          <w:szCs w:val="24"/>
          <w:lang w:val="en-US" w:eastAsia="fr-FR"/>
        </w:rPr>
      </w:pPr>
      <w:r w:rsidRPr="00F57A14">
        <w:rPr>
          <w:rFonts w:ascii="Times New Roman" w:hAnsi="Times New Roman"/>
          <w:sz w:val="24"/>
          <w:szCs w:val="24"/>
          <w:lang w:val="en-US" w:eastAsia="fr-FR"/>
        </w:rPr>
        <w:t xml:space="preserve">Pratt, A.G., </w:t>
      </w:r>
      <w:r>
        <w:rPr>
          <w:rFonts w:ascii="Times New Roman" w:hAnsi="Times New Roman"/>
          <w:sz w:val="24"/>
          <w:szCs w:val="24"/>
          <w:lang w:val="en-US" w:eastAsia="fr-FR"/>
        </w:rPr>
        <w:t>P. Suarez, and U. Hess, 2010,</w:t>
      </w:r>
      <w:r w:rsidRPr="00F57A14">
        <w:rPr>
          <w:rFonts w:ascii="Times New Roman" w:hAnsi="Times New Roman"/>
          <w:sz w:val="24"/>
          <w:szCs w:val="24"/>
          <w:lang w:val="en-US" w:eastAsia="fr-FR"/>
        </w:rPr>
        <w:t xml:space="preserve"> </w:t>
      </w:r>
      <w:r>
        <w:rPr>
          <w:rFonts w:ascii="Times New Roman" w:hAnsi="Times New Roman"/>
          <w:sz w:val="24"/>
          <w:szCs w:val="24"/>
          <w:lang w:val="en-US" w:eastAsia="fr-FR"/>
        </w:rPr>
        <w:t>“</w:t>
      </w:r>
      <w:r w:rsidRPr="00F57A14">
        <w:rPr>
          <w:rFonts w:ascii="Times New Roman" w:hAnsi="Times New Roman"/>
          <w:sz w:val="24"/>
          <w:szCs w:val="24"/>
          <w:lang w:val="en-US" w:eastAsia="fr-FR"/>
        </w:rPr>
        <w:t xml:space="preserve">How Do </w:t>
      </w:r>
      <w:r w:rsidR="007015D6">
        <w:rPr>
          <w:rFonts w:ascii="Times New Roman" w:hAnsi="Times New Roman"/>
          <w:sz w:val="24"/>
          <w:szCs w:val="24"/>
          <w:lang w:val="en-US" w:eastAsia="fr-FR"/>
        </w:rPr>
        <w:t>Small</w:t>
      </w:r>
      <w:r>
        <w:rPr>
          <w:rFonts w:ascii="Times New Roman" w:hAnsi="Times New Roman"/>
          <w:sz w:val="24"/>
          <w:szCs w:val="24"/>
          <w:lang w:val="en-US" w:eastAsia="fr-FR"/>
        </w:rPr>
        <w:t xml:space="preserve">holder Farmers Understand </w:t>
      </w:r>
      <w:r w:rsidRPr="00F57A14">
        <w:rPr>
          <w:rFonts w:ascii="Times New Roman" w:hAnsi="Times New Roman"/>
          <w:sz w:val="24"/>
          <w:szCs w:val="24"/>
          <w:lang w:val="en-US" w:eastAsia="fr-FR"/>
        </w:rPr>
        <w:t>Insurance,</w:t>
      </w:r>
      <w:r>
        <w:rPr>
          <w:rFonts w:ascii="Times New Roman" w:hAnsi="Times New Roman"/>
          <w:sz w:val="24"/>
          <w:szCs w:val="24"/>
          <w:lang w:val="en-US" w:eastAsia="fr-FR"/>
        </w:rPr>
        <w:t xml:space="preserve"> </w:t>
      </w:r>
      <w:r w:rsidRPr="00F57A14">
        <w:rPr>
          <w:rFonts w:ascii="Times New Roman" w:hAnsi="Times New Roman"/>
          <w:sz w:val="24"/>
          <w:szCs w:val="24"/>
          <w:lang w:val="en-US" w:eastAsia="fr-FR"/>
        </w:rPr>
        <w:t>and How Do The</w:t>
      </w:r>
      <w:r>
        <w:rPr>
          <w:rFonts w:ascii="Times New Roman" w:hAnsi="Times New Roman"/>
          <w:sz w:val="24"/>
          <w:szCs w:val="24"/>
          <w:lang w:val="en-US" w:eastAsia="fr-FR"/>
        </w:rPr>
        <w:t>y Want It? Evidence from Africa”,</w:t>
      </w:r>
      <w:r w:rsidRPr="00F57A14">
        <w:rPr>
          <w:rFonts w:ascii="Times New Roman" w:hAnsi="Times New Roman"/>
          <w:sz w:val="24"/>
          <w:szCs w:val="24"/>
          <w:lang w:val="en-US" w:eastAsia="fr-FR"/>
        </w:rPr>
        <w:t xml:space="preserve"> </w:t>
      </w:r>
      <w:r w:rsidRPr="00F57A14">
        <w:rPr>
          <w:rFonts w:ascii="Times New Roman" w:hAnsi="Times New Roman"/>
          <w:i/>
          <w:iCs/>
          <w:sz w:val="24"/>
          <w:szCs w:val="24"/>
          <w:lang w:val="en-US" w:eastAsia="fr-FR"/>
        </w:rPr>
        <w:t>Global Environmental Change</w:t>
      </w:r>
      <w:r w:rsidRPr="00F57A14">
        <w:rPr>
          <w:rFonts w:ascii="Times New Roman" w:hAnsi="Times New Roman"/>
          <w:sz w:val="24"/>
          <w:szCs w:val="24"/>
          <w:lang w:val="en-US" w:eastAsia="fr-FR"/>
        </w:rPr>
        <w:t>,</w:t>
      </w:r>
      <w:r>
        <w:rPr>
          <w:rFonts w:ascii="Times New Roman" w:hAnsi="Times New Roman"/>
          <w:sz w:val="24"/>
          <w:szCs w:val="24"/>
          <w:lang w:val="en-US" w:eastAsia="fr-FR"/>
        </w:rPr>
        <w:t xml:space="preserve"> Vol. </w:t>
      </w:r>
      <w:r w:rsidRPr="00F57A14">
        <w:rPr>
          <w:rFonts w:ascii="Times New Roman" w:hAnsi="Times New Roman"/>
          <w:iCs/>
          <w:sz w:val="24"/>
          <w:szCs w:val="24"/>
          <w:lang w:val="en-US" w:eastAsia="fr-FR"/>
        </w:rPr>
        <w:t>20</w:t>
      </w:r>
      <w:r>
        <w:rPr>
          <w:rFonts w:ascii="Times New Roman" w:hAnsi="Times New Roman"/>
          <w:sz w:val="24"/>
          <w:szCs w:val="24"/>
          <w:lang w:val="en-US" w:eastAsia="fr-FR"/>
        </w:rPr>
        <w:t>, N°1</w:t>
      </w:r>
      <w:r w:rsidRPr="00F57A14">
        <w:rPr>
          <w:rFonts w:ascii="Times New Roman" w:hAnsi="Times New Roman"/>
          <w:sz w:val="24"/>
          <w:szCs w:val="24"/>
          <w:lang w:val="en-US" w:eastAsia="fr-FR"/>
        </w:rPr>
        <w:t xml:space="preserve">, </w:t>
      </w:r>
      <w:r>
        <w:rPr>
          <w:rFonts w:ascii="Times New Roman" w:hAnsi="Times New Roman"/>
          <w:sz w:val="24"/>
          <w:szCs w:val="24"/>
          <w:lang w:val="en-US" w:eastAsia="fr-FR"/>
        </w:rPr>
        <w:t xml:space="preserve">pp. </w:t>
      </w:r>
      <w:r w:rsidRPr="00F57A14">
        <w:rPr>
          <w:rFonts w:ascii="Times New Roman" w:hAnsi="Times New Roman"/>
          <w:sz w:val="24"/>
          <w:szCs w:val="24"/>
          <w:lang w:val="en-US" w:eastAsia="fr-FR"/>
        </w:rPr>
        <w:t>153-</w:t>
      </w:r>
      <w:r>
        <w:rPr>
          <w:rFonts w:ascii="Times New Roman" w:hAnsi="Times New Roman"/>
          <w:sz w:val="24"/>
          <w:szCs w:val="24"/>
          <w:lang w:val="en-US" w:eastAsia="fr-FR"/>
        </w:rPr>
        <w:t>1</w:t>
      </w:r>
      <w:r w:rsidRPr="00F57A14">
        <w:rPr>
          <w:rFonts w:ascii="Times New Roman" w:hAnsi="Times New Roman"/>
          <w:sz w:val="24"/>
          <w:szCs w:val="24"/>
          <w:lang w:val="en-US" w:eastAsia="fr-FR"/>
        </w:rPr>
        <w:t>61.</w:t>
      </w:r>
    </w:p>
    <w:p w:rsidR="00814FA9" w:rsidRDefault="00814FA9" w:rsidP="00F57A14">
      <w:pPr>
        <w:autoSpaceDE w:val="0"/>
        <w:autoSpaceDN w:val="0"/>
        <w:adjustRightInd w:val="0"/>
        <w:spacing w:after="0" w:line="240" w:lineRule="auto"/>
        <w:jc w:val="both"/>
        <w:rPr>
          <w:rFonts w:ascii="Times New Roman" w:hAnsi="Times New Roman"/>
          <w:sz w:val="24"/>
          <w:szCs w:val="24"/>
          <w:lang w:val="en-US" w:eastAsia="fr-FR"/>
        </w:rPr>
      </w:pPr>
    </w:p>
    <w:p w:rsidR="00814FA9" w:rsidRDefault="00814FA9" w:rsidP="00F57A14">
      <w:pPr>
        <w:autoSpaceDE w:val="0"/>
        <w:autoSpaceDN w:val="0"/>
        <w:adjustRightInd w:val="0"/>
        <w:spacing w:after="0" w:line="240" w:lineRule="auto"/>
        <w:jc w:val="both"/>
        <w:rPr>
          <w:rFonts w:ascii="Times New Roman" w:hAnsi="Times New Roman"/>
          <w:sz w:val="24"/>
          <w:szCs w:val="24"/>
          <w:lang w:val="en-US" w:eastAsia="fr-FR"/>
        </w:rPr>
      </w:pPr>
      <w:r>
        <w:rPr>
          <w:rFonts w:ascii="Times New Roman" w:hAnsi="Times New Roman"/>
          <w:sz w:val="24"/>
          <w:szCs w:val="24"/>
          <w:lang w:val="en-US" w:eastAsia="fr-FR"/>
        </w:rPr>
        <w:t xml:space="preserve">Rabin, M., and R. Thaler, 2001. “Anomalies: Risk Aversion”, </w:t>
      </w:r>
      <w:r>
        <w:rPr>
          <w:rFonts w:ascii="Times New Roman" w:hAnsi="Times New Roman"/>
          <w:i/>
          <w:sz w:val="24"/>
          <w:szCs w:val="24"/>
          <w:lang w:val="en-US" w:eastAsia="fr-FR"/>
        </w:rPr>
        <w:t xml:space="preserve">Journal of Economic Perspectives, </w:t>
      </w:r>
      <w:r>
        <w:rPr>
          <w:rFonts w:ascii="Times New Roman" w:hAnsi="Times New Roman"/>
          <w:sz w:val="24"/>
          <w:szCs w:val="24"/>
          <w:lang w:val="en-US" w:eastAsia="fr-FR"/>
        </w:rPr>
        <w:t>Vol. 15, pp. 219-232.</w:t>
      </w:r>
    </w:p>
    <w:p w:rsidR="009C261E" w:rsidRDefault="009C261E" w:rsidP="00F57A14">
      <w:pPr>
        <w:autoSpaceDE w:val="0"/>
        <w:autoSpaceDN w:val="0"/>
        <w:adjustRightInd w:val="0"/>
        <w:spacing w:after="0" w:line="240" w:lineRule="auto"/>
        <w:jc w:val="both"/>
        <w:rPr>
          <w:rFonts w:ascii="Times New Roman" w:hAnsi="Times New Roman"/>
          <w:sz w:val="24"/>
          <w:szCs w:val="24"/>
          <w:lang w:val="en-US" w:eastAsia="fr-FR"/>
        </w:rPr>
      </w:pPr>
    </w:p>
    <w:p w:rsidR="009C261E" w:rsidRPr="009C261E" w:rsidRDefault="009C261E" w:rsidP="00F57A14">
      <w:pPr>
        <w:autoSpaceDE w:val="0"/>
        <w:autoSpaceDN w:val="0"/>
        <w:adjustRightInd w:val="0"/>
        <w:spacing w:after="0" w:line="240" w:lineRule="auto"/>
        <w:jc w:val="both"/>
        <w:rPr>
          <w:rFonts w:ascii="Times New Roman" w:hAnsi="Times New Roman"/>
          <w:sz w:val="24"/>
          <w:szCs w:val="24"/>
          <w:lang w:val="en-US" w:eastAsia="fr-FR"/>
        </w:rPr>
      </w:pPr>
      <w:r>
        <w:rPr>
          <w:rFonts w:ascii="Times New Roman" w:hAnsi="Times New Roman"/>
          <w:sz w:val="24"/>
          <w:szCs w:val="24"/>
          <w:lang w:val="en-US" w:eastAsia="fr-FR"/>
        </w:rPr>
        <w:t xml:space="preserve">Samuelson, P., and R. Zeckhauser, 1988. “Status Quo Bias in Decision Making”, </w:t>
      </w:r>
      <w:r>
        <w:rPr>
          <w:rFonts w:ascii="Times New Roman" w:hAnsi="Times New Roman"/>
          <w:i/>
          <w:sz w:val="24"/>
          <w:szCs w:val="24"/>
          <w:lang w:val="en-US" w:eastAsia="fr-FR"/>
        </w:rPr>
        <w:t>Journal of Risk and Uncertainty</w:t>
      </w:r>
      <w:r>
        <w:rPr>
          <w:rFonts w:ascii="Times New Roman" w:hAnsi="Times New Roman"/>
          <w:sz w:val="24"/>
          <w:szCs w:val="24"/>
          <w:lang w:val="en-US" w:eastAsia="fr-FR"/>
        </w:rPr>
        <w:t>, Vol. 1, pp. 7-59.</w:t>
      </w:r>
    </w:p>
    <w:p w:rsidR="00564FD3" w:rsidRPr="00552F9B" w:rsidRDefault="00B71B3E" w:rsidP="00564FD3">
      <w:pPr>
        <w:spacing w:before="100" w:beforeAutospacing="1" w:after="100" w:afterAutospacing="1" w:line="240" w:lineRule="auto"/>
        <w:jc w:val="both"/>
        <w:rPr>
          <w:rFonts w:ascii="Times New Roman" w:hAnsi="Times New Roman"/>
          <w:sz w:val="24"/>
          <w:szCs w:val="24"/>
          <w:lang w:val="en-US"/>
        </w:rPr>
      </w:pPr>
      <w:r w:rsidRPr="00552F9B">
        <w:rPr>
          <w:rFonts w:ascii="Times New Roman" w:hAnsi="Times New Roman"/>
          <w:sz w:val="24"/>
          <w:szCs w:val="24"/>
          <w:lang w:val="en-US"/>
        </w:rPr>
        <w:t xml:space="preserve">Stein, D., 2011. “Paying Premiums with the Insurer’s Money: How Loss Aversion Drives Dynamic Insurance Decisions”, Working Paper, London School of Economics and Centre for Research in Economic Development (CRED), University of Namur. </w:t>
      </w:r>
    </w:p>
    <w:p w:rsidR="00564FD3" w:rsidRPr="00552F9B" w:rsidRDefault="00B71B3E" w:rsidP="00564FD3">
      <w:pPr>
        <w:spacing w:before="100" w:beforeAutospacing="1" w:after="100" w:afterAutospacing="1" w:line="240" w:lineRule="auto"/>
        <w:jc w:val="both"/>
        <w:rPr>
          <w:rFonts w:ascii="Times New Roman" w:hAnsi="Times New Roman"/>
          <w:sz w:val="24"/>
          <w:szCs w:val="24"/>
          <w:lang w:val="en-US"/>
        </w:rPr>
      </w:pPr>
      <w:r w:rsidRPr="00552F9B">
        <w:rPr>
          <w:rFonts w:ascii="Times New Roman" w:hAnsi="Times New Roman"/>
          <w:sz w:val="24"/>
          <w:szCs w:val="24"/>
          <w:lang w:val="en-US"/>
        </w:rPr>
        <w:t xml:space="preserve">Thaler, R., 1985. “Mental Accounting and Consumer Choice”, </w:t>
      </w:r>
      <w:r w:rsidRPr="00552F9B">
        <w:rPr>
          <w:rFonts w:ascii="Times New Roman" w:hAnsi="Times New Roman"/>
          <w:i/>
          <w:sz w:val="24"/>
          <w:szCs w:val="24"/>
          <w:lang w:val="en-US"/>
        </w:rPr>
        <w:t>Marketing Science,</w:t>
      </w:r>
      <w:r w:rsidRPr="00552F9B">
        <w:rPr>
          <w:rFonts w:ascii="Times New Roman" w:hAnsi="Times New Roman"/>
          <w:sz w:val="24"/>
          <w:szCs w:val="24"/>
          <w:lang w:val="en-US"/>
        </w:rPr>
        <w:t xml:space="preserve"> </w:t>
      </w:r>
      <w:r w:rsidR="00AE78A2" w:rsidRPr="00552F9B">
        <w:rPr>
          <w:rFonts w:ascii="Times New Roman" w:hAnsi="Times New Roman"/>
          <w:sz w:val="24"/>
          <w:szCs w:val="24"/>
          <w:lang w:val="en-US"/>
        </w:rPr>
        <w:t xml:space="preserve">pp. </w:t>
      </w:r>
      <w:r w:rsidRPr="00552F9B">
        <w:rPr>
          <w:rFonts w:ascii="Times New Roman" w:hAnsi="Times New Roman"/>
          <w:sz w:val="24"/>
          <w:szCs w:val="24"/>
          <w:lang w:val="en-US"/>
        </w:rPr>
        <w:t>199-214.</w:t>
      </w:r>
    </w:p>
    <w:p w:rsidR="00564FD3" w:rsidRPr="00564FD3" w:rsidRDefault="00564FD3" w:rsidP="00564FD3">
      <w:pPr>
        <w:ind w:right="-2"/>
        <w:jc w:val="both"/>
        <w:rPr>
          <w:rFonts w:ascii="Times New Roman" w:hAnsi="Times New Roman"/>
          <w:sz w:val="24"/>
          <w:lang w:val="en-US"/>
        </w:rPr>
      </w:pPr>
      <w:r w:rsidRPr="00564FD3">
        <w:rPr>
          <w:rFonts w:ascii="Times New Roman" w:hAnsi="Times New Roman"/>
          <w:sz w:val="24"/>
          <w:lang w:val="en-US"/>
        </w:rPr>
        <w:t xml:space="preserve">Udry, C., 1990, “Credit Markets in Northern Nigeria: Credit as Insurance in a Rural Economy”, </w:t>
      </w:r>
      <w:r w:rsidRPr="00564FD3">
        <w:rPr>
          <w:rFonts w:ascii="Times New Roman" w:hAnsi="Times New Roman"/>
          <w:i/>
          <w:sz w:val="24"/>
          <w:lang w:val="en-US"/>
        </w:rPr>
        <w:t>World Bank Economic Review,</w:t>
      </w:r>
      <w:r w:rsidRPr="00564FD3">
        <w:rPr>
          <w:rFonts w:ascii="Times New Roman" w:hAnsi="Times New Roman"/>
          <w:sz w:val="24"/>
          <w:lang w:val="en-US"/>
        </w:rPr>
        <w:t xml:space="preserve"> Vol. 4, N° 3, pp. 251-69.</w:t>
      </w:r>
    </w:p>
    <w:p w:rsidR="00564FD3" w:rsidRPr="00564FD3" w:rsidRDefault="00564FD3" w:rsidP="00564FD3">
      <w:pPr>
        <w:ind w:right="-2"/>
        <w:jc w:val="both"/>
        <w:rPr>
          <w:rFonts w:ascii="Times New Roman" w:hAnsi="Times New Roman"/>
          <w:sz w:val="24"/>
          <w:lang w:val="en-US"/>
        </w:rPr>
      </w:pPr>
      <w:r w:rsidRPr="00564FD3">
        <w:rPr>
          <w:rFonts w:ascii="Times New Roman" w:hAnsi="Times New Roman"/>
          <w:sz w:val="24"/>
          <w:lang w:val="en-US"/>
        </w:rPr>
        <w:t xml:space="preserve">Udry, C., 1993, “Credit Markets in Northern Nigeria: Credit as Insurance in a Rural Economy”, in Hoff, K., A. Braverman, and J.E. Stiglitz (eds), </w:t>
      </w:r>
      <w:r w:rsidRPr="00564FD3">
        <w:rPr>
          <w:rFonts w:ascii="Times New Roman" w:hAnsi="Times New Roman"/>
          <w:i/>
          <w:sz w:val="24"/>
          <w:lang w:val="en-US"/>
        </w:rPr>
        <w:t>The Economics of Rural Organization,</w:t>
      </w:r>
      <w:r w:rsidRPr="00564FD3">
        <w:rPr>
          <w:rFonts w:ascii="Times New Roman" w:hAnsi="Times New Roman"/>
          <w:sz w:val="24"/>
          <w:lang w:val="en-US"/>
        </w:rPr>
        <w:t xml:space="preserve"> Oxford: Oxford University Press (Published for the World Bank), pp. 87-108.</w:t>
      </w:r>
    </w:p>
    <w:p w:rsidR="00564FD3" w:rsidRPr="00564FD3" w:rsidRDefault="00564FD3" w:rsidP="00564FD3">
      <w:pPr>
        <w:ind w:right="-2"/>
        <w:jc w:val="both"/>
        <w:rPr>
          <w:rFonts w:ascii="Times New Roman" w:hAnsi="Times New Roman"/>
          <w:sz w:val="24"/>
          <w:lang w:val="en-US"/>
        </w:rPr>
      </w:pPr>
      <w:r w:rsidRPr="00564FD3">
        <w:rPr>
          <w:rFonts w:ascii="Times New Roman" w:hAnsi="Times New Roman"/>
          <w:sz w:val="24"/>
          <w:lang w:val="en-US"/>
        </w:rPr>
        <w:t xml:space="preserve">Udry, C., 1994, “Risk and Insurance in a Rural Credit Market: An Empirical Investigation in Northern Nigeria”, </w:t>
      </w:r>
      <w:r w:rsidRPr="00564FD3">
        <w:rPr>
          <w:rFonts w:ascii="Times New Roman" w:hAnsi="Times New Roman"/>
          <w:i/>
          <w:sz w:val="24"/>
          <w:lang w:val="en-US"/>
        </w:rPr>
        <w:t xml:space="preserve">Review of Economic Studies, </w:t>
      </w:r>
      <w:r w:rsidRPr="00564FD3">
        <w:rPr>
          <w:rFonts w:ascii="Times New Roman" w:hAnsi="Times New Roman"/>
          <w:sz w:val="24"/>
          <w:lang w:val="en-US"/>
        </w:rPr>
        <w:t>Vol. 61, pp. 495-526.</w:t>
      </w:r>
    </w:p>
    <w:p w:rsidR="00B71B3E" w:rsidRPr="00D3162D" w:rsidRDefault="0056249D" w:rsidP="00F160AA">
      <w:pPr>
        <w:spacing w:before="100" w:beforeAutospacing="1" w:after="100" w:afterAutospacing="1" w:line="240" w:lineRule="auto"/>
        <w:jc w:val="both"/>
        <w:rPr>
          <w:rFonts w:ascii="Times New Roman" w:hAnsi="Times New Roman"/>
          <w:b/>
          <w:sz w:val="28"/>
          <w:szCs w:val="28"/>
          <w:lang w:val="en-US"/>
        </w:rPr>
      </w:pPr>
      <w:r>
        <w:rPr>
          <w:rFonts w:ascii="Times New Roman" w:hAnsi="Times New Roman"/>
          <w:b/>
          <w:lang w:val="en-US"/>
        </w:rPr>
        <w:br w:type="page"/>
      </w:r>
      <w:r w:rsidR="00B71B3E" w:rsidRPr="00D3162D">
        <w:rPr>
          <w:rFonts w:ascii="Times New Roman" w:hAnsi="Times New Roman"/>
          <w:b/>
          <w:sz w:val="28"/>
          <w:szCs w:val="28"/>
          <w:lang w:val="en-US"/>
        </w:rPr>
        <w:lastRenderedPageBreak/>
        <w:t>Appendix A</w:t>
      </w:r>
    </w:p>
    <w:p w:rsidR="0056249D" w:rsidRDefault="0056249D" w:rsidP="00B71B3E">
      <w:pPr>
        <w:jc w:val="center"/>
        <w:rPr>
          <w:rFonts w:ascii="Times New Roman" w:hAnsi="Times New Roman"/>
          <w:b/>
          <w:lang w:val="en-US"/>
        </w:rPr>
      </w:pPr>
    </w:p>
    <w:p w:rsidR="00B71B3E" w:rsidRPr="00307500" w:rsidRDefault="00B71B3E" w:rsidP="00B71B3E">
      <w:pPr>
        <w:jc w:val="center"/>
        <w:rPr>
          <w:rFonts w:ascii="Times New Roman" w:hAnsi="Times New Roman"/>
          <w:i/>
          <w:lang w:val="en-US"/>
        </w:rPr>
      </w:pPr>
      <w:r w:rsidRPr="00307500">
        <w:rPr>
          <w:rFonts w:ascii="Times New Roman" w:hAnsi="Times New Roman"/>
          <w:i/>
          <w:lang w:val="en-US"/>
        </w:rPr>
        <w:t>Table A-1 Variables used for the prevention index</w:t>
      </w:r>
    </w:p>
    <w:p w:rsidR="00B71B3E" w:rsidRDefault="00B71B3E" w:rsidP="00B71B3E">
      <w:pPr>
        <w:jc w:val="center"/>
      </w:pPr>
      <w:r>
        <w:object w:dxaOrig="7983" w:dyaOrig="4266">
          <v:shape id="_x0000_i1042" type="#_x0000_t75" style="width:343.05pt;height:213.2pt" o:ole="">
            <v:imagedata r:id="rId30" o:title=""/>
          </v:shape>
          <o:OLEObject Type="Embed" ProgID="Excel.Sheet.12" ShapeID="_x0000_i1042" DrawAspect="Content" ObjectID="_1431905105" r:id="rId31"/>
        </w:object>
      </w: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Pr="00307500" w:rsidRDefault="00B71B3E" w:rsidP="0056249D">
      <w:pPr>
        <w:keepNext/>
        <w:keepLines/>
        <w:jc w:val="center"/>
        <w:rPr>
          <w:rFonts w:ascii="Times New Roman" w:hAnsi="Times New Roman"/>
          <w:i/>
          <w:lang w:val="en-US"/>
        </w:rPr>
      </w:pPr>
      <w:r w:rsidRPr="00307500">
        <w:rPr>
          <w:rFonts w:ascii="Times New Roman" w:hAnsi="Times New Roman"/>
          <w:i/>
          <w:lang w:val="en-US"/>
        </w:rPr>
        <w:lastRenderedPageBreak/>
        <w:t>Table A-2 Variables used for the asset index</w:t>
      </w:r>
    </w:p>
    <w:p w:rsidR="00B71B3E" w:rsidRDefault="00B71B3E" w:rsidP="0056249D">
      <w:pPr>
        <w:keepNext/>
        <w:keepLines/>
        <w:jc w:val="center"/>
      </w:pPr>
      <w:r>
        <w:object w:dxaOrig="7983" w:dyaOrig="8672">
          <v:shape id="_x0000_i1043" type="#_x0000_t75" style="width:338.8pt;height:433.4pt" o:ole="">
            <v:imagedata r:id="rId32" o:title=""/>
          </v:shape>
          <o:OLEObject Type="Embed" ProgID="Excel.Sheet.12" ShapeID="_x0000_i1043" DrawAspect="Content" ObjectID="_1431905106" r:id="rId33"/>
        </w:object>
      </w: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Default="00B71B3E" w:rsidP="00B71B3E">
      <w:pPr>
        <w:jc w:val="center"/>
      </w:pPr>
    </w:p>
    <w:p w:rsidR="00B71B3E" w:rsidRPr="00D3162D" w:rsidRDefault="00B71B3E" w:rsidP="00B71B3E">
      <w:pPr>
        <w:rPr>
          <w:rFonts w:ascii="Times New Roman" w:hAnsi="Times New Roman"/>
          <w:b/>
          <w:sz w:val="28"/>
          <w:szCs w:val="28"/>
          <w:lang w:val="en-US"/>
        </w:rPr>
      </w:pPr>
      <w:r>
        <w:rPr>
          <w:rFonts w:ascii="Times New Roman" w:hAnsi="Times New Roman"/>
          <w:b/>
          <w:sz w:val="28"/>
          <w:szCs w:val="28"/>
          <w:lang w:val="en-US"/>
        </w:rPr>
        <w:lastRenderedPageBreak/>
        <w:t>Appendix</w:t>
      </w:r>
      <w:r w:rsidRPr="00D3162D">
        <w:rPr>
          <w:rFonts w:ascii="Times New Roman" w:hAnsi="Times New Roman"/>
          <w:b/>
          <w:sz w:val="28"/>
          <w:szCs w:val="28"/>
          <w:lang w:val="en-US"/>
        </w:rPr>
        <w:t xml:space="preserve"> B</w:t>
      </w:r>
    </w:p>
    <w:p w:rsidR="00B71B3E" w:rsidRPr="00307500" w:rsidRDefault="00B71B3E" w:rsidP="00B71B3E">
      <w:pPr>
        <w:jc w:val="center"/>
        <w:rPr>
          <w:rFonts w:ascii="Times New Roman" w:hAnsi="Times New Roman"/>
          <w:i/>
          <w:lang w:val="en-US"/>
        </w:rPr>
      </w:pPr>
      <w:r w:rsidRPr="00307500">
        <w:rPr>
          <w:rFonts w:ascii="Times New Roman" w:hAnsi="Times New Roman"/>
          <w:i/>
          <w:lang w:val="en-US"/>
        </w:rPr>
        <w:t>Determinants of contract renewal</w:t>
      </w:r>
    </w:p>
    <w:p w:rsidR="00B71B3E" w:rsidRDefault="00B71B3E" w:rsidP="00B71B3E">
      <w:pPr>
        <w:jc w:val="center"/>
      </w:pPr>
      <w:r>
        <w:object w:dxaOrig="7036" w:dyaOrig="10916">
          <v:shape id="_x0000_i1044" type="#_x0000_t75" style="width:352.45pt;height:546.35pt" o:ole="">
            <v:imagedata r:id="rId34" o:title=""/>
          </v:shape>
          <o:OLEObject Type="Embed" ProgID="Excel.Sheet.12" ShapeID="_x0000_i1044" DrawAspect="Content" ObjectID="_1431905107" r:id="rId35"/>
        </w:object>
      </w:r>
    </w:p>
    <w:p w:rsidR="00B71B3E" w:rsidRDefault="00B71B3E" w:rsidP="00B71B3E">
      <w:pPr>
        <w:jc w:val="center"/>
        <w:rPr>
          <w:rFonts w:ascii="Times New Roman" w:hAnsi="Times New Roman"/>
          <w:sz w:val="24"/>
          <w:szCs w:val="24"/>
          <w:lang w:val="en-US"/>
        </w:rPr>
      </w:pPr>
    </w:p>
    <w:p w:rsidR="0010510A" w:rsidRDefault="0010510A" w:rsidP="00B71B3E">
      <w:pPr>
        <w:jc w:val="center"/>
        <w:rPr>
          <w:rFonts w:ascii="Times New Roman" w:hAnsi="Times New Roman"/>
          <w:sz w:val="24"/>
          <w:szCs w:val="24"/>
          <w:lang w:val="en-US"/>
        </w:rPr>
      </w:pPr>
    </w:p>
    <w:p w:rsidR="0010510A" w:rsidRDefault="0010510A" w:rsidP="00B71B3E">
      <w:pPr>
        <w:jc w:val="center"/>
        <w:rPr>
          <w:rFonts w:ascii="Times New Roman" w:hAnsi="Times New Roman"/>
          <w:sz w:val="24"/>
          <w:szCs w:val="24"/>
          <w:lang w:val="en-US"/>
        </w:rPr>
      </w:pPr>
    </w:p>
    <w:p w:rsidR="0010510A" w:rsidRPr="00D3162D" w:rsidRDefault="0010510A" w:rsidP="0010510A">
      <w:pPr>
        <w:rPr>
          <w:rFonts w:ascii="Times New Roman" w:hAnsi="Times New Roman"/>
          <w:b/>
          <w:sz w:val="28"/>
          <w:szCs w:val="28"/>
          <w:lang w:val="en-US"/>
        </w:rPr>
      </w:pPr>
      <w:r>
        <w:rPr>
          <w:rFonts w:ascii="Times New Roman" w:hAnsi="Times New Roman"/>
          <w:b/>
          <w:sz w:val="28"/>
          <w:szCs w:val="28"/>
          <w:lang w:val="en-US"/>
        </w:rPr>
        <w:lastRenderedPageBreak/>
        <w:t>Appendix</w:t>
      </w:r>
      <w:r w:rsidRPr="00D3162D">
        <w:rPr>
          <w:rFonts w:ascii="Times New Roman" w:hAnsi="Times New Roman"/>
          <w:b/>
          <w:sz w:val="28"/>
          <w:szCs w:val="28"/>
          <w:lang w:val="en-US"/>
        </w:rPr>
        <w:t xml:space="preserve"> </w:t>
      </w:r>
      <w:r>
        <w:rPr>
          <w:rFonts w:ascii="Times New Roman" w:hAnsi="Times New Roman"/>
          <w:b/>
          <w:sz w:val="28"/>
          <w:szCs w:val="28"/>
          <w:lang w:val="en-US"/>
        </w:rPr>
        <w:t>C</w:t>
      </w:r>
    </w:p>
    <w:p w:rsidR="0010510A" w:rsidRPr="00307500" w:rsidRDefault="00A83F98" w:rsidP="00307500">
      <w:pPr>
        <w:jc w:val="center"/>
        <w:rPr>
          <w:rFonts w:ascii="Times New Roman" w:hAnsi="Times New Roman"/>
          <w:i/>
          <w:sz w:val="24"/>
          <w:szCs w:val="24"/>
          <w:lang w:val="en-US"/>
        </w:rPr>
      </w:pPr>
      <w:r w:rsidRPr="00307500">
        <w:rPr>
          <w:rFonts w:ascii="Times New Roman" w:hAnsi="Times New Roman"/>
          <w:i/>
          <w:lang w:val="en-US"/>
        </w:rPr>
        <w:t>E</w:t>
      </w:r>
      <w:r w:rsidR="0010510A" w:rsidRPr="00307500">
        <w:rPr>
          <w:rFonts w:ascii="Times New Roman" w:hAnsi="Times New Roman"/>
          <w:i/>
          <w:lang w:val="en-US"/>
        </w:rPr>
        <w:t>ffect</w:t>
      </w:r>
      <w:r w:rsidRPr="00307500">
        <w:rPr>
          <w:rFonts w:ascii="Times New Roman" w:hAnsi="Times New Roman"/>
          <w:i/>
          <w:lang w:val="en-US"/>
        </w:rPr>
        <w:t>s</w:t>
      </w:r>
      <w:r w:rsidR="0010510A" w:rsidRPr="00307500">
        <w:rPr>
          <w:rFonts w:ascii="Times New Roman" w:hAnsi="Times New Roman"/>
          <w:i/>
          <w:lang w:val="en-US"/>
        </w:rPr>
        <w:t xml:space="preserve"> of </w:t>
      </w:r>
      <w:r w:rsidRPr="00307500">
        <w:rPr>
          <w:rFonts w:ascii="Times New Roman" w:hAnsi="Times New Roman"/>
          <w:i/>
          <w:lang w:val="en-US"/>
        </w:rPr>
        <w:t>insurance benefits</w:t>
      </w:r>
      <w:r w:rsidR="001F48D9" w:rsidRPr="00307500">
        <w:rPr>
          <w:rFonts w:ascii="Times New Roman" w:hAnsi="Times New Roman"/>
          <w:i/>
          <w:lang w:val="en-US"/>
        </w:rPr>
        <w:t xml:space="preserve"> on</w:t>
      </w:r>
      <w:r w:rsidRPr="00307500">
        <w:rPr>
          <w:rFonts w:ascii="Times New Roman" w:hAnsi="Times New Roman"/>
          <w:i/>
          <w:lang w:val="en-US"/>
        </w:rPr>
        <w:t xml:space="preserve"> contract</w:t>
      </w:r>
      <w:r w:rsidR="001F48D9" w:rsidRPr="00307500">
        <w:rPr>
          <w:rFonts w:ascii="Times New Roman" w:hAnsi="Times New Roman"/>
          <w:i/>
          <w:lang w:val="en-US"/>
        </w:rPr>
        <w:t xml:space="preserve"> renewal</w:t>
      </w:r>
    </w:p>
    <w:bookmarkStart w:id="3" w:name="_MON_1426491839"/>
    <w:bookmarkEnd w:id="3"/>
    <w:p w:rsidR="0010510A" w:rsidRDefault="008F39B0" w:rsidP="00B71B3E">
      <w:pPr>
        <w:jc w:val="center"/>
      </w:pPr>
      <w:r>
        <w:object w:dxaOrig="10656" w:dyaOrig="10668">
          <v:shape id="_x0000_i1045" type="#_x0000_t75" style="width:471.55pt;height:471.55pt" o:ole="">
            <v:imagedata r:id="rId36" o:title=""/>
          </v:shape>
          <o:OLEObject Type="Embed" ProgID="Excel.Sheet.12" ShapeID="_x0000_i1045" DrawAspect="Content" ObjectID="_1431905108" r:id="rId37"/>
        </w:object>
      </w:r>
    </w:p>
    <w:p w:rsidR="00307500" w:rsidRDefault="00307500" w:rsidP="00B71B3E">
      <w:pPr>
        <w:jc w:val="center"/>
      </w:pPr>
    </w:p>
    <w:p w:rsidR="00307500" w:rsidRDefault="00307500" w:rsidP="00B71B3E">
      <w:pPr>
        <w:jc w:val="center"/>
      </w:pPr>
    </w:p>
    <w:p w:rsidR="00307500" w:rsidRDefault="00307500" w:rsidP="00B71B3E">
      <w:pPr>
        <w:jc w:val="center"/>
      </w:pPr>
    </w:p>
    <w:p w:rsidR="00307500" w:rsidRDefault="00307500" w:rsidP="00B71B3E">
      <w:pPr>
        <w:jc w:val="center"/>
      </w:pPr>
    </w:p>
    <w:p w:rsidR="00307500" w:rsidRDefault="00307500" w:rsidP="00B71B3E">
      <w:pPr>
        <w:jc w:val="center"/>
      </w:pPr>
    </w:p>
    <w:p w:rsidR="00307500" w:rsidRPr="00307500" w:rsidRDefault="00307500" w:rsidP="00307500">
      <w:pPr>
        <w:keepNext/>
        <w:keepLines/>
        <w:spacing w:after="240" w:line="360" w:lineRule="auto"/>
        <w:ind w:firstLine="426"/>
        <w:jc w:val="both"/>
        <w:rPr>
          <w:rFonts w:ascii="Times New Roman" w:hAnsi="Times New Roman"/>
          <w:b/>
          <w:sz w:val="24"/>
          <w:szCs w:val="24"/>
          <w:lang w:val="en-US"/>
        </w:rPr>
      </w:pPr>
      <w:r>
        <w:rPr>
          <w:rFonts w:ascii="Times New Roman" w:hAnsi="Times New Roman"/>
          <w:b/>
          <w:sz w:val="24"/>
          <w:szCs w:val="24"/>
          <w:lang w:val="en-US"/>
        </w:rPr>
        <w:lastRenderedPageBreak/>
        <w:t>Appendix D</w:t>
      </w:r>
    </w:p>
    <w:p w:rsidR="00307500" w:rsidRPr="00307500" w:rsidRDefault="00307500" w:rsidP="00307500">
      <w:pPr>
        <w:keepNext/>
        <w:keepLines/>
        <w:spacing w:after="240" w:line="360" w:lineRule="auto"/>
        <w:ind w:firstLine="426"/>
        <w:jc w:val="center"/>
        <w:rPr>
          <w:rFonts w:ascii="Times New Roman" w:hAnsi="Times New Roman"/>
          <w:i/>
          <w:sz w:val="24"/>
          <w:szCs w:val="24"/>
          <w:lang w:val="en-US"/>
        </w:rPr>
      </w:pPr>
      <w:r w:rsidRPr="00307500">
        <w:rPr>
          <w:rFonts w:ascii="Times New Roman" w:hAnsi="Times New Roman"/>
          <w:i/>
          <w:sz w:val="24"/>
          <w:szCs w:val="24"/>
          <w:lang w:val="en-US"/>
        </w:rPr>
        <w:t>Determinants of satisfaction level</w:t>
      </w:r>
    </w:p>
    <w:bookmarkStart w:id="4" w:name="_MON_1426493894"/>
    <w:bookmarkEnd w:id="4"/>
    <w:p w:rsidR="00307500" w:rsidRDefault="00307500" w:rsidP="00307500">
      <w:pPr>
        <w:keepNext/>
        <w:keepLines/>
        <w:spacing w:after="240" w:line="360" w:lineRule="auto"/>
        <w:jc w:val="center"/>
        <w:rPr>
          <w:rFonts w:ascii="Times New Roman" w:hAnsi="Times New Roman"/>
          <w:b/>
          <w:sz w:val="24"/>
          <w:szCs w:val="24"/>
          <w:lang w:val="en-US"/>
        </w:rPr>
      </w:pPr>
      <w:r>
        <w:object w:dxaOrig="9988" w:dyaOrig="9829">
          <v:shape id="_x0000_i1046" type="#_x0000_t75" style="width:443.3pt;height:454.6pt" o:ole="">
            <v:imagedata r:id="rId38" o:title=""/>
          </v:shape>
          <o:OLEObject Type="Embed" ProgID="Excel.Sheet.12" ShapeID="_x0000_i1046" DrawAspect="Content" ObjectID="_1431905109" r:id="rId39"/>
        </w:object>
      </w:r>
    </w:p>
    <w:p w:rsidR="00307500" w:rsidRDefault="00307500" w:rsidP="00B71B3E">
      <w:pPr>
        <w:jc w:val="center"/>
        <w:rPr>
          <w:rFonts w:ascii="Times New Roman" w:hAnsi="Times New Roman"/>
          <w:sz w:val="24"/>
          <w:szCs w:val="24"/>
          <w:lang w:val="en-US"/>
        </w:rPr>
      </w:pPr>
    </w:p>
    <w:p w:rsidR="00271909" w:rsidRDefault="00271909" w:rsidP="00B71B3E">
      <w:pPr>
        <w:jc w:val="center"/>
        <w:rPr>
          <w:rFonts w:ascii="Times New Roman" w:hAnsi="Times New Roman"/>
          <w:sz w:val="24"/>
          <w:szCs w:val="24"/>
          <w:lang w:val="en-US"/>
        </w:rPr>
      </w:pPr>
    </w:p>
    <w:p w:rsidR="00271909" w:rsidRDefault="00271909" w:rsidP="00B71B3E">
      <w:pPr>
        <w:jc w:val="center"/>
        <w:rPr>
          <w:rFonts w:ascii="Times New Roman" w:hAnsi="Times New Roman"/>
          <w:sz w:val="24"/>
          <w:szCs w:val="24"/>
          <w:lang w:val="en-US"/>
        </w:rPr>
      </w:pPr>
    </w:p>
    <w:p w:rsidR="00271909" w:rsidRDefault="00271909" w:rsidP="00B71B3E">
      <w:pPr>
        <w:jc w:val="center"/>
        <w:rPr>
          <w:rFonts w:ascii="Times New Roman" w:hAnsi="Times New Roman"/>
          <w:sz w:val="24"/>
          <w:szCs w:val="24"/>
          <w:lang w:val="en-US"/>
        </w:rPr>
      </w:pPr>
    </w:p>
    <w:p w:rsidR="00271909" w:rsidRDefault="00271909" w:rsidP="00B71B3E">
      <w:pPr>
        <w:jc w:val="center"/>
        <w:rPr>
          <w:rFonts w:ascii="Times New Roman" w:hAnsi="Times New Roman"/>
          <w:sz w:val="24"/>
          <w:szCs w:val="24"/>
          <w:lang w:val="en-US"/>
        </w:rPr>
      </w:pPr>
    </w:p>
    <w:p w:rsidR="00271909" w:rsidRPr="00626F33" w:rsidRDefault="00271909" w:rsidP="00271909">
      <w:pPr>
        <w:rPr>
          <w:rFonts w:ascii="Times New Roman" w:hAnsi="Times New Roman"/>
          <w:sz w:val="24"/>
          <w:szCs w:val="24"/>
          <w:lang w:val="en-US"/>
        </w:rPr>
      </w:pPr>
    </w:p>
    <w:sectPr w:rsidR="00271909" w:rsidRPr="00626F33" w:rsidSect="00B71B3E">
      <w:pgSz w:w="11906" w:h="16838" w:code="9"/>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71" w:rsidRDefault="00464E71" w:rsidP="00B71B3E">
      <w:pPr>
        <w:spacing w:after="0" w:line="240" w:lineRule="auto"/>
      </w:pPr>
      <w:r>
        <w:separator/>
      </w:r>
    </w:p>
  </w:endnote>
  <w:endnote w:type="continuationSeparator" w:id="0">
    <w:p w:rsidR="00464E71" w:rsidRDefault="00464E71" w:rsidP="00B71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48" w:rsidRDefault="00A40E24" w:rsidP="00B71B3E">
    <w:pPr>
      <w:pStyle w:val="Pieddepage"/>
      <w:framePr w:wrap="around" w:vAnchor="text" w:hAnchor="margin" w:xAlign="right" w:y="1"/>
      <w:rPr>
        <w:rStyle w:val="Numrodepage"/>
      </w:rPr>
    </w:pPr>
    <w:r>
      <w:rPr>
        <w:rStyle w:val="Numrodepage"/>
      </w:rPr>
      <w:fldChar w:fldCharType="begin"/>
    </w:r>
    <w:r w:rsidR="00670148">
      <w:rPr>
        <w:rStyle w:val="Numrodepage"/>
      </w:rPr>
      <w:instrText xml:space="preserve">PAGE  </w:instrText>
    </w:r>
    <w:r>
      <w:rPr>
        <w:rStyle w:val="Numrodepage"/>
      </w:rPr>
      <w:fldChar w:fldCharType="end"/>
    </w:r>
  </w:p>
  <w:p w:rsidR="00670148" w:rsidRDefault="00670148" w:rsidP="00B71B3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48" w:rsidRDefault="00A40E24">
    <w:pPr>
      <w:pStyle w:val="Pieddepage"/>
      <w:jc w:val="right"/>
    </w:pPr>
    <w:fldSimple w:instr=" PAGE   \* MERGEFORMAT ">
      <w:r w:rsidR="00D249A0">
        <w:rPr>
          <w:noProof/>
        </w:rPr>
        <w:t>1</w:t>
      </w:r>
    </w:fldSimple>
  </w:p>
  <w:p w:rsidR="00670148" w:rsidRDefault="00670148" w:rsidP="00B71B3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71" w:rsidRDefault="00464E71" w:rsidP="00B71B3E">
      <w:pPr>
        <w:spacing w:after="0" w:line="240" w:lineRule="auto"/>
      </w:pPr>
      <w:r>
        <w:separator/>
      </w:r>
    </w:p>
  </w:footnote>
  <w:footnote w:type="continuationSeparator" w:id="0">
    <w:p w:rsidR="00464E71" w:rsidRDefault="00464E71" w:rsidP="00B71B3E">
      <w:pPr>
        <w:spacing w:after="0" w:line="240" w:lineRule="auto"/>
      </w:pPr>
      <w:r>
        <w:continuationSeparator/>
      </w:r>
    </w:p>
  </w:footnote>
  <w:footnote w:id="1">
    <w:p w:rsidR="00670148" w:rsidRPr="001259CA" w:rsidRDefault="00670148" w:rsidP="00D20C45">
      <w:pPr>
        <w:pStyle w:val="Notedebasdepage"/>
        <w:spacing w:line="240" w:lineRule="auto"/>
        <w:jc w:val="both"/>
        <w:rPr>
          <w:rFonts w:ascii="Times New Roman" w:hAnsi="Times New Roman"/>
          <w:sz w:val="22"/>
          <w:szCs w:val="22"/>
          <w:lang w:val="en-US"/>
        </w:rPr>
      </w:pPr>
      <w:r w:rsidRPr="001259CA">
        <w:rPr>
          <w:rStyle w:val="Appelnotedebasdep"/>
          <w:lang w:val="en-US"/>
        </w:rPr>
        <w:t>*</w:t>
      </w:r>
      <w:r w:rsidRPr="001259CA">
        <w:rPr>
          <w:lang w:val="en-US"/>
        </w:rPr>
        <w:t xml:space="preserve"> </w:t>
      </w:r>
      <w:r w:rsidRPr="001259CA">
        <w:rPr>
          <w:rFonts w:ascii="Times New Roman" w:hAnsi="Times New Roman"/>
          <w:sz w:val="22"/>
          <w:szCs w:val="22"/>
          <w:lang w:val="en-US"/>
        </w:rPr>
        <w:t xml:space="preserve">We want to express our special gratitude to </w:t>
      </w:r>
      <w:r>
        <w:rPr>
          <w:rFonts w:ascii="Times New Roman" w:hAnsi="Times New Roman"/>
          <w:sz w:val="22"/>
          <w:szCs w:val="22"/>
          <w:lang w:val="en-US"/>
        </w:rPr>
        <w:t xml:space="preserve">the Microinsurance Facility (Geneva) and the Bill and Melinda Gates Foundation which have funded this study and connected us with the local partner organization. We also want to extend special thanks to </w:t>
      </w:r>
      <w:r w:rsidRPr="001259CA">
        <w:rPr>
          <w:rFonts w:ascii="Times New Roman" w:hAnsi="Times New Roman"/>
          <w:sz w:val="22"/>
          <w:szCs w:val="22"/>
          <w:lang w:val="en-US"/>
        </w:rPr>
        <w:t>Catherine Guirkinger who provided helpful advices during the preparatory phase of the field survey</w:t>
      </w:r>
      <w:r>
        <w:rPr>
          <w:rFonts w:ascii="Times New Roman" w:hAnsi="Times New Roman"/>
          <w:sz w:val="22"/>
          <w:szCs w:val="22"/>
          <w:lang w:val="en-US"/>
        </w:rPr>
        <w:t xml:space="preserve">, and useful comments at later stages. Moreover, we benefited from useful comments by Jean-Marie Baland, Clive Bell, Erlend Berg, François Bourguignon, Pierre-André Chiappori, Marcel Fafchamps, James Fenske, Jan Willem Gunning, Rashid Laajaj, Andreas Mandelstam, Juan-Antonio Morales, Karlyn Morsink, Simon Quinn, Pieter Serneels, Vincent Somville, and Diego Ubfal. </w:t>
      </w:r>
    </w:p>
  </w:footnote>
  <w:footnote w:id="2">
    <w:p w:rsidR="00670148" w:rsidRPr="004F304C" w:rsidRDefault="00670148" w:rsidP="00D20C45">
      <w:pPr>
        <w:pStyle w:val="Notedebasdepage"/>
        <w:spacing w:line="240" w:lineRule="auto"/>
        <w:rPr>
          <w:lang w:val="en-US"/>
        </w:rPr>
      </w:pPr>
      <w:r w:rsidRPr="004F304C">
        <w:rPr>
          <w:rStyle w:val="Appelnotedebasdep"/>
          <w:lang w:val="en-US"/>
        </w:rPr>
        <w:t>**</w:t>
      </w:r>
      <w:r w:rsidRPr="004F304C">
        <w:rPr>
          <w:rFonts w:ascii="Times New Roman" w:hAnsi="Times New Roman"/>
          <w:sz w:val="22"/>
          <w:szCs w:val="22"/>
          <w:lang w:val="en-US"/>
        </w:rPr>
        <w:t xml:space="preserve"> </w:t>
      </w:r>
      <w:r>
        <w:rPr>
          <w:rFonts w:ascii="Times New Roman" w:hAnsi="Times New Roman"/>
          <w:sz w:val="22"/>
          <w:szCs w:val="22"/>
          <w:lang w:val="en-US"/>
        </w:rPr>
        <w:t>P</w:t>
      </w:r>
      <w:r w:rsidRPr="004F304C">
        <w:rPr>
          <w:rFonts w:ascii="Times New Roman" w:hAnsi="Times New Roman"/>
          <w:sz w:val="22"/>
          <w:szCs w:val="22"/>
          <w:lang w:val="en-US"/>
        </w:rPr>
        <w:t>rofessor</w:t>
      </w:r>
      <w:r>
        <w:rPr>
          <w:rFonts w:ascii="Times New Roman" w:hAnsi="Times New Roman"/>
          <w:sz w:val="22"/>
          <w:szCs w:val="22"/>
          <w:lang w:val="en-US"/>
        </w:rPr>
        <w:t xml:space="preserve"> of economics at the university of Oxford and the university of Namur.</w:t>
      </w:r>
    </w:p>
  </w:footnote>
  <w:footnote w:id="3">
    <w:p w:rsidR="00670148" w:rsidRPr="004F304C" w:rsidRDefault="00670148" w:rsidP="00D20C45">
      <w:pPr>
        <w:pStyle w:val="Notedebasdepage"/>
        <w:spacing w:line="240" w:lineRule="auto"/>
        <w:rPr>
          <w:rFonts w:ascii="Times New Roman" w:hAnsi="Times New Roman"/>
          <w:sz w:val="22"/>
          <w:szCs w:val="22"/>
          <w:lang w:val="en-US"/>
        </w:rPr>
      </w:pPr>
      <w:r w:rsidRPr="004F304C">
        <w:rPr>
          <w:rStyle w:val="Appelnotedebasdep"/>
          <w:rFonts w:ascii="Times New Roman" w:hAnsi="Times New Roman"/>
          <w:sz w:val="22"/>
          <w:szCs w:val="22"/>
          <w:lang w:val="en-US"/>
        </w:rPr>
        <w:t>***</w:t>
      </w:r>
      <w:r w:rsidRPr="004F304C">
        <w:rPr>
          <w:rFonts w:ascii="Times New Roman" w:hAnsi="Times New Roman"/>
          <w:sz w:val="22"/>
          <w:szCs w:val="22"/>
          <w:lang w:val="en-US"/>
        </w:rPr>
        <w:t xml:space="preserve"> Researcher at the university of Namur.</w:t>
      </w:r>
    </w:p>
  </w:footnote>
  <w:footnote w:id="4">
    <w:p w:rsidR="00670148" w:rsidRPr="004C7B5B" w:rsidRDefault="00670148" w:rsidP="00D20C45">
      <w:pPr>
        <w:pStyle w:val="Notedebasdepage"/>
        <w:spacing w:line="240" w:lineRule="auto"/>
        <w:jc w:val="both"/>
        <w:rPr>
          <w:sz w:val="22"/>
          <w:szCs w:val="22"/>
          <w:lang w:val="en-US"/>
        </w:rPr>
      </w:pPr>
      <w:r>
        <w:rPr>
          <w:rStyle w:val="Appelnotedebasdep"/>
        </w:rPr>
        <w:footnoteRef/>
      </w:r>
      <w:r w:rsidRPr="004C7B5B">
        <w:rPr>
          <w:lang w:val="en-US"/>
        </w:rPr>
        <w:t xml:space="preserve"> </w:t>
      </w:r>
      <w:r w:rsidRPr="004C7B5B">
        <w:rPr>
          <w:rFonts w:ascii="Times New Roman" w:hAnsi="Times New Roman"/>
          <w:sz w:val="22"/>
          <w:szCs w:val="22"/>
          <w:lang w:val="en-US" w:eastAsia="fr-BE"/>
        </w:rPr>
        <w:t>Even though the study design allows for an impact assessment evaluation (with comparisons between treatment and control villages), the exercise would be futile: impact is bound to be very disappointing owing to low enrolment rates and low rates of use of the insurance by subscribers.</w:t>
      </w:r>
    </w:p>
  </w:footnote>
  <w:footnote w:id="5">
    <w:p w:rsidR="00670148" w:rsidRPr="00650B13" w:rsidRDefault="00670148" w:rsidP="00D20C45">
      <w:pPr>
        <w:pStyle w:val="Notedebasdepage"/>
        <w:spacing w:line="240" w:lineRule="auto"/>
        <w:rPr>
          <w:rFonts w:ascii="Times New Roman" w:hAnsi="Times New Roman"/>
          <w:sz w:val="22"/>
          <w:szCs w:val="22"/>
          <w:lang w:val="en-US"/>
        </w:rPr>
      </w:pPr>
      <w:r w:rsidRPr="00650B13">
        <w:rPr>
          <w:rStyle w:val="Appelnotedebasdep"/>
          <w:rFonts w:ascii="Times New Roman" w:hAnsi="Times New Roman"/>
          <w:sz w:val="22"/>
          <w:szCs w:val="22"/>
        </w:rPr>
        <w:footnoteRef/>
      </w:r>
      <w:r w:rsidRPr="00650B13">
        <w:rPr>
          <w:rFonts w:ascii="Times New Roman" w:hAnsi="Times New Roman"/>
          <w:sz w:val="22"/>
          <w:szCs w:val="22"/>
          <w:lang w:val="en-US"/>
        </w:rPr>
        <w:t xml:space="preserve"> On the other hand, </w:t>
      </w:r>
      <w:r>
        <w:rPr>
          <w:rFonts w:ascii="Times New Roman" w:hAnsi="Times New Roman"/>
          <w:sz w:val="22"/>
          <w:szCs w:val="22"/>
          <w:lang w:val="en-US" w:eastAsia="fr-BE"/>
        </w:rPr>
        <w:t>45</w:t>
      </w:r>
      <w:r w:rsidRPr="00650B13">
        <w:rPr>
          <w:rFonts w:ascii="Times New Roman" w:hAnsi="Times New Roman"/>
          <w:sz w:val="22"/>
          <w:szCs w:val="22"/>
          <w:lang w:val="en-US" w:eastAsia="fr-BE"/>
        </w:rPr>
        <w:t>0 households were to be interviewed in control villages.</w:t>
      </w:r>
    </w:p>
  </w:footnote>
  <w:footnote w:id="6">
    <w:p w:rsidR="00670148" w:rsidRPr="00650B13" w:rsidRDefault="00670148" w:rsidP="00D20C45">
      <w:pPr>
        <w:pStyle w:val="Notedebasdepage"/>
        <w:spacing w:line="240" w:lineRule="auto"/>
        <w:rPr>
          <w:rFonts w:ascii="Times New Roman" w:hAnsi="Times New Roman"/>
          <w:sz w:val="22"/>
          <w:szCs w:val="22"/>
          <w:lang w:val="en-US"/>
        </w:rPr>
      </w:pPr>
      <w:r w:rsidRPr="00650B13">
        <w:rPr>
          <w:rStyle w:val="Appelnotedebasdep"/>
          <w:rFonts w:ascii="Times New Roman" w:hAnsi="Times New Roman"/>
          <w:sz w:val="22"/>
          <w:szCs w:val="22"/>
        </w:rPr>
        <w:footnoteRef/>
      </w:r>
      <w:r w:rsidRPr="00650B13">
        <w:rPr>
          <w:rFonts w:ascii="Times New Roman" w:hAnsi="Times New Roman"/>
          <w:sz w:val="22"/>
          <w:szCs w:val="22"/>
          <w:lang w:val="en-US"/>
        </w:rPr>
        <w:t xml:space="preserve"> Households interviewed in 2010 in the treatment villages thus numbered </w:t>
      </w:r>
      <w:r>
        <w:rPr>
          <w:rFonts w:ascii="Times New Roman" w:hAnsi="Times New Roman"/>
          <w:sz w:val="22"/>
          <w:szCs w:val="22"/>
          <w:lang w:val="en-US"/>
        </w:rPr>
        <w:t>63</w:t>
      </w:r>
      <w:r w:rsidRPr="00650B13">
        <w:rPr>
          <w:rFonts w:ascii="Times New Roman" w:hAnsi="Times New Roman"/>
          <w:sz w:val="22"/>
          <w:szCs w:val="22"/>
          <w:lang w:val="en-US"/>
        </w:rPr>
        <w:t xml:space="preserve">0 while those interviewed in </w:t>
      </w:r>
      <w:r>
        <w:rPr>
          <w:rFonts w:ascii="Times New Roman" w:hAnsi="Times New Roman"/>
          <w:sz w:val="22"/>
          <w:szCs w:val="22"/>
          <w:lang w:val="en-US"/>
        </w:rPr>
        <w:t>the control villages numbered 45</w:t>
      </w:r>
      <w:r w:rsidRPr="00650B13">
        <w:rPr>
          <w:rFonts w:ascii="Times New Roman" w:hAnsi="Times New Roman"/>
          <w:sz w:val="22"/>
          <w:szCs w:val="22"/>
          <w:lang w:val="en-US"/>
        </w:rPr>
        <w:t>0, making up a total of 1</w:t>
      </w:r>
      <w:r>
        <w:rPr>
          <w:rFonts w:ascii="Times New Roman" w:hAnsi="Times New Roman"/>
          <w:sz w:val="22"/>
          <w:szCs w:val="22"/>
          <w:lang w:val="en-US"/>
        </w:rPr>
        <w:t>,</w:t>
      </w:r>
      <w:r w:rsidRPr="00650B13">
        <w:rPr>
          <w:rFonts w:ascii="Times New Roman" w:hAnsi="Times New Roman"/>
          <w:sz w:val="22"/>
          <w:szCs w:val="22"/>
          <w:lang w:val="en-US"/>
        </w:rPr>
        <w:t>080 households.</w:t>
      </w:r>
    </w:p>
  </w:footnote>
  <w:footnote w:id="7">
    <w:p w:rsidR="00670148" w:rsidRPr="00650B13" w:rsidRDefault="00670148" w:rsidP="00D20C45">
      <w:pPr>
        <w:pStyle w:val="Notedebasdepage"/>
        <w:spacing w:line="240" w:lineRule="auto"/>
        <w:rPr>
          <w:rFonts w:ascii="Times New Roman" w:hAnsi="Times New Roman"/>
          <w:sz w:val="22"/>
          <w:szCs w:val="22"/>
          <w:lang w:val="en-US"/>
        </w:rPr>
      </w:pPr>
      <w:r w:rsidRPr="00650B13">
        <w:rPr>
          <w:rStyle w:val="Appelnotedebasdep"/>
          <w:rFonts w:ascii="Times New Roman" w:hAnsi="Times New Roman"/>
          <w:sz w:val="22"/>
          <w:szCs w:val="22"/>
        </w:rPr>
        <w:footnoteRef/>
      </w:r>
      <w:r w:rsidRPr="00650B13">
        <w:rPr>
          <w:rFonts w:ascii="Times New Roman" w:hAnsi="Times New Roman"/>
          <w:sz w:val="22"/>
          <w:szCs w:val="22"/>
          <w:lang w:val="en-US"/>
        </w:rPr>
        <w:t xml:space="preserve"> The number of households interviewed in 2011 in the control villages was 387. </w:t>
      </w:r>
    </w:p>
  </w:footnote>
  <w:footnote w:id="8">
    <w:p w:rsidR="00670148" w:rsidRPr="00D55F63" w:rsidRDefault="00670148" w:rsidP="00D20C45">
      <w:pPr>
        <w:pStyle w:val="Notedebasdepage"/>
        <w:spacing w:line="240" w:lineRule="auto"/>
        <w:jc w:val="both"/>
        <w:rPr>
          <w:rFonts w:ascii="Times New Roman" w:hAnsi="Times New Roman"/>
          <w:sz w:val="22"/>
          <w:szCs w:val="22"/>
          <w:lang w:val="en-US"/>
        </w:rPr>
      </w:pPr>
      <w:r w:rsidRPr="00D55F63">
        <w:rPr>
          <w:rStyle w:val="Appelnotedebasdep"/>
          <w:rFonts w:ascii="Times New Roman" w:hAnsi="Times New Roman"/>
          <w:sz w:val="22"/>
          <w:szCs w:val="22"/>
        </w:rPr>
        <w:footnoteRef/>
      </w:r>
      <w:r w:rsidRPr="00D55F63">
        <w:rPr>
          <w:rFonts w:ascii="Times New Roman" w:hAnsi="Times New Roman"/>
          <w:sz w:val="22"/>
          <w:szCs w:val="22"/>
          <w:lang w:val="en-US"/>
        </w:rPr>
        <w:t xml:space="preserve"> </w:t>
      </w:r>
      <w:r>
        <w:rPr>
          <w:rFonts w:ascii="Times New Roman" w:hAnsi="Times New Roman"/>
          <w:sz w:val="22"/>
          <w:szCs w:val="22"/>
          <w:lang w:val="en-US"/>
        </w:rPr>
        <w:t>In a significant number of cases, indeed, non-subscribers gave us a wrong phone number so as to prevent us from contacting them again.</w:t>
      </w:r>
    </w:p>
  </w:footnote>
  <w:footnote w:id="9">
    <w:p w:rsidR="00670148" w:rsidRPr="00650B13" w:rsidRDefault="00670148" w:rsidP="00D20C45">
      <w:pPr>
        <w:pStyle w:val="Notedebasdepage"/>
        <w:spacing w:line="240" w:lineRule="auto"/>
        <w:jc w:val="both"/>
        <w:rPr>
          <w:rFonts w:ascii="Times New Roman" w:hAnsi="Times New Roman"/>
          <w:sz w:val="22"/>
          <w:szCs w:val="22"/>
          <w:lang w:val="en-US"/>
        </w:rPr>
      </w:pPr>
      <w:r w:rsidRPr="00650B13">
        <w:rPr>
          <w:rStyle w:val="Appelnotedebasdep"/>
          <w:rFonts w:ascii="Times New Roman" w:hAnsi="Times New Roman"/>
          <w:sz w:val="22"/>
          <w:szCs w:val="22"/>
        </w:rPr>
        <w:footnoteRef/>
      </w:r>
      <w:r w:rsidRPr="00650B13">
        <w:rPr>
          <w:rFonts w:ascii="Times New Roman" w:hAnsi="Times New Roman"/>
          <w:sz w:val="22"/>
          <w:szCs w:val="22"/>
          <w:lang w:val="en-US"/>
        </w:rPr>
        <w:t xml:space="preserve"> Note that MCA is a generalization of the classic Principal Component Analysis (PCA) where the variables to be analyzed are categorical, not continuous.</w:t>
      </w:r>
    </w:p>
  </w:footnote>
  <w:footnote w:id="10">
    <w:p w:rsidR="00670148" w:rsidRPr="00723A44" w:rsidRDefault="00670148" w:rsidP="00D20C45">
      <w:pPr>
        <w:pStyle w:val="Notedebasdepage"/>
        <w:spacing w:line="240" w:lineRule="auto"/>
        <w:jc w:val="both"/>
        <w:rPr>
          <w:rFonts w:ascii="Times New Roman" w:hAnsi="Times New Roman"/>
          <w:sz w:val="22"/>
          <w:szCs w:val="22"/>
          <w:lang w:val="en-US"/>
        </w:rPr>
      </w:pPr>
      <w:r w:rsidRPr="00723A44">
        <w:rPr>
          <w:rStyle w:val="Appelnotedebasdep"/>
          <w:rFonts w:ascii="Times New Roman" w:hAnsi="Times New Roman"/>
          <w:sz w:val="22"/>
          <w:szCs w:val="22"/>
        </w:rPr>
        <w:footnoteRef/>
      </w:r>
      <w:r w:rsidRPr="00723A44">
        <w:rPr>
          <w:rFonts w:ascii="Times New Roman" w:hAnsi="Times New Roman"/>
          <w:sz w:val="22"/>
          <w:szCs w:val="22"/>
          <w:lang w:val="en-US"/>
        </w:rPr>
        <w:t xml:space="preserve"> </w:t>
      </w:r>
      <w:r w:rsidR="003C54AA">
        <w:rPr>
          <w:rFonts w:ascii="Times New Roman" w:hAnsi="Times New Roman"/>
          <w:bCs/>
          <w:sz w:val="24"/>
          <w:szCs w:val="24"/>
          <w:lang w:val="en-US" w:eastAsia="fr-BE"/>
        </w:rPr>
        <w:t>A plaus</w:t>
      </w:r>
      <w:r>
        <w:rPr>
          <w:rFonts w:ascii="Times New Roman" w:hAnsi="Times New Roman"/>
          <w:bCs/>
          <w:sz w:val="24"/>
          <w:szCs w:val="24"/>
          <w:lang w:val="en-US" w:eastAsia="fr-BE"/>
        </w:rPr>
        <w:t>ible explanation behind the narrowing down of the gap between the two successive years is the following: since the initial level of preventive knowledge was much higher among subscribers, further progress was more difficult to achieve</w:t>
      </w:r>
      <w:r w:rsidR="003C54AA">
        <w:rPr>
          <w:rFonts w:ascii="Times New Roman" w:hAnsi="Times New Roman"/>
          <w:bCs/>
          <w:sz w:val="24"/>
          <w:szCs w:val="24"/>
          <w:lang w:val="en-US" w:eastAsia="fr-BE"/>
        </w:rPr>
        <w:t xml:space="preserve">. </w:t>
      </w:r>
    </w:p>
  </w:footnote>
  <w:footnote w:id="11">
    <w:p w:rsidR="00670148" w:rsidRPr="003648A9" w:rsidRDefault="00670148" w:rsidP="003648A9">
      <w:pPr>
        <w:pStyle w:val="Notedebasdepage"/>
        <w:jc w:val="both"/>
        <w:rPr>
          <w:rFonts w:ascii="Times New Roman" w:hAnsi="Times New Roman"/>
          <w:sz w:val="22"/>
          <w:szCs w:val="22"/>
          <w:lang w:val="en-US"/>
        </w:rPr>
      </w:pPr>
      <w:r w:rsidRPr="003648A9">
        <w:rPr>
          <w:rStyle w:val="Appelnotedebasdep"/>
          <w:rFonts w:ascii="Times New Roman" w:hAnsi="Times New Roman"/>
          <w:sz w:val="22"/>
          <w:szCs w:val="22"/>
        </w:rPr>
        <w:footnoteRef/>
      </w:r>
      <w:r w:rsidRPr="003648A9">
        <w:rPr>
          <w:rFonts w:ascii="Times New Roman" w:hAnsi="Times New Roman"/>
          <w:sz w:val="22"/>
          <w:szCs w:val="22"/>
          <w:lang w:val="en-US"/>
        </w:rPr>
        <w:t xml:space="preserve"> The “hot-hand effect” theory </w:t>
      </w:r>
      <w:r w:rsidR="00FC2D2C">
        <w:rPr>
          <w:rFonts w:ascii="Times New Roman" w:hAnsi="Times New Roman"/>
          <w:sz w:val="22"/>
          <w:szCs w:val="22"/>
          <w:lang w:val="en-US"/>
        </w:rPr>
        <w:t xml:space="preserve">also focuses on the role of </w:t>
      </w:r>
      <w:r w:rsidRPr="003648A9">
        <w:rPr>
          <w:rFonts w:ascii="Times New Roman" w:hAnsi="Times New Roman"/>
          <w:sz w:val="22"/>
          <w:szCs w:val="22"/>
          <w:lang w:val="en-US"/>
        </w:rPr>
        <w:t>people’s perception of risks</w:t>
      </w:r>
      <w:r w:rsidR="00FC2D2C">
        <w:rPr>
          <w:rFonts w:ascii="Times New Roman" w:hAnsi="Times New Roman"/>
          <w:sz w:val="22"/>
          <w:szCs w:val="22"/>
          <w:lang w:val="en-US"/>
        </w:rPr>
        <w:t>.</w:t>
      </w:r>
      <w:r w:rsidRPr="003648A9">
        <w:rPr>
          <w:rFonts w:ascii="Times New Roman" w:hAnsi="Times New Roman"/>
          <w:sz w:val="22"/>
          <w:szCs w:val="22"/>
          <w:lang w:val="en-US"/>
        </w:rPr>
        <w:t xml:space="preserve"> </w:t>
      </w:r>
      <w:r w:rsidR="00FC2D2C">
        <w:rPr>
          <w:rFonts w:ascii="Times New Roman" w:hAnsi="Times New Roman"/>
          <w:sz w:val="22"/>
          <w:szCs w:val="22"/>
          <w:lang w:val="en-US"/>
        </w:rPr>
        <w:t xml:space="preserve">Such perception </w:t>
      </w:r>
      <w:r w:rsidRPr="003648A9">
        <w:rPr>
          <w:rFonts w:ascii="Times New Roman" w:hAnsi="Times New Roman"/>
          <w:sz w:val="22"/>
          <w:szCs w:val="22"/>
          <w:lang w:val="en-US"/>
        </w:rPr>
        <w:t>is</w:t>
      </w:r>
      <w:r w:rsidR="00FC2D2C">
        <w:rPr>
          <w:rFonts w:ascii="Times New Roman" w:hAnsi="Times New Roman"/>
          <w:sz w:val="22"/>
          <w:szCs w:val="22"/>
          <w:lang w:val="en-US"/>
        </w:rPr>
        <w:t xml:space="preserve"> seen as</w:t>
      </w:r>
      <w:r w:rsidRPr="003648A9">
        <w:rPr>
          <w:rFonts w:ascii="Times New Roman" w:hAnsi="Times New Roman"/>
          <w:sz w:val="22"/>
          <w:szCs w:val="22"/>
          <w:lang w:val="en-US"/>
        </w:rPr>
        <w:t xml:space="preserve"> influenced by the frequency and intensity of past shocks. The prediction result</w:t>
      </w:r>
      <w:r w:rsidR="00091929">
        <w:rPr>
          <w:rFonts w:ascii="Times New Roman" w:hAnsi="Times New Roman"/>
          <w:sz w:val="22"/>
          <w:szCs w:val="22"/>
          <w:lang w:val="en-US"/>
        </w:rPr>
        <w:t>ing from this theory is</w:t>
      </w:r>
      <w:r w:rsidRPr="003648A9">
        <w:rPr>
          <w:rFonts w:ascii="Times New Roman" w:hAnsi="Times New Roman"/>
          <w:sz w:val="22"/>
          <w:szCs w:val="22"/>
          <w:lang w:val="en-US"/>
        </w:rPr>
        <w:t xml:space="preserve"> ambiguous</w:t>
      </w:r>
      <w:r w:rsidR="00091929">
        <w:rPr>
          <w:rFonts w:ascii="Times New Roman" w:hAnsi="Times New Roman"/>
          <w:sz w:val="22"/>
          <w:szCs w:val="22"/>
          <w:lang w:val="en-US"/>
        </w:rPr>
        <w:t>, though</w:t>
      </w:r>
      <w:r w:rsidRPr="003648A9">
        <w:rPr>
          <w:rFonts w:ascii="Times New Roman" w:hAnsi="Times New Roman"/>
          <w:sz w:val="22"/>
          <w:szCs w:val="22"/>
          <w:lang w:val="en-US"/>
        </w:rPr>
        <w:t>. On the one hand, the experience of a shock can make the risk more salient and induce the individual to overestimate the true probability of a new shock. On the other hand, if he (she) believes that it is unlikely that several (independent) shocks will occur in a short period, the true probability of a new shock could also be underestimated (de Bock and Gelade, 2012). To give an example, “some individuals may treat a string of flood-free years as evidence that the probability of a future flood in their area is now lower than immediately after a flood occurred. But this view is fallacious because, in reality, the risk of damage remains the same as before the flood occurred…” (Kunreuther et al., 2013: 118). The “hot-hand effect” theory is related to what has been called the “availability bias”: people tend to assess the probability of an event “by the ease with which instances of occurrence can be brought to mind” (p. 110).</w:t>
      </w:r>
    </w:p>
  </w:footnote>
  <w:footnote w:id="12">
    <w:p w:rsidR="0059282C" w:rsidRPr="0059282C" w:rsidRDefault="0059282C" w:rsidP="0059282C">
      <w:pPr>
        <w:pStyle w:val="Notedebasdepage"/>
        <w:jc w:val="both"/>
        <w:rPr>
          <w:rFonts w:ascii="Times New Roman" w:hAnsi="Times New Roman"/>
          <w:sz w:val="22"/>
          <w:szCs w:val="22"/>
          <w:lang w:val="en-US"/>
        </w:rPr>
      </w:pPr>
      <w:r w:rsidRPr="0059282C">
        <w:rPr>
          <w:rStyle w:val="Appelnotedebasdep"/>
          <w:rFonts w:ascii="Times New Roman" w:hAnsi="Times New Roman"/>
          <w:sz w:val="22"/>
          <w:szCs w:val="22"/>
        </w:rPr>
        <w:footnoteRef/>
      </w:r>
      <w:r w:rsidRPr="0059282C">
        <w:rPr>
          <w:rFonts w:ascii="Times New Roman" w:hAnsi="Times New Roman"/>
          <w:sz w:val="22"/>
          <w:szCs w:val="22"/>
          <w:lang w:val="en-US"/>
        </w:rPr>
        <w:t xml:space="preserve"> </w:t>
      </w:r>
      <w:r>
        <w:rPr>
          <w:rFonts w:ascii="Times New Roman" w:hAnsi="Times New Roman"/>
          <w:sz w:val="22"/>
          <w:szCs w:val="22"/>
          <w:lang w:val="en-US"/>
        </w:rPr>
        <w:t>If there is no compound risk, the worst conceivable scenario is that in which the shock occurs and the individual is not insured. Ambiguity aversion should then encourage rather than discourage insurance take-up.</w:t>
      </w:r>
    </w:p>
  </w:footnote>
  <w:footnote w:id="13">
    <w:p w:rsidR="00670148" w:rsidRPr="003648A9" w:rsidRDefault="00670148" w:rsidP="003648A9">
      <w:pPr>
        <w:pStyle w:val="Notedebasdepage"/>
        <w:spacing w:line="240" w:lineRule="auto"/>
        <w:jc w:val="both"/>
        <w:rPr>
          <w:rFonts w:ascii="Times New Roman" w:hAnsi="Times New Roman"/>
          <w:sz w:val="22"/>
          <w:szCs w:val="22"/>
          <w:lang w:val="en-US"/>
        </w:rPr>
      </w:pPr>
      <w:r w:rsidRPr="003648A9">
        <w:rPr>
          <w:rStyle w:val="Appelnotedebasdep"/>
          <w:rFonts w:ascii="Times New Roman" w:hAnsi="Times New Roman"/>
          <w:sz w:val="22"/>
          <w:szCs w:val="22"/>
        </w:rPr>
        <w:footnoteRef/>
      </w:r>
      <w:r w:rsidRPr="003648A9">
        <w:rPr>
          <w:rFonts w:ascii="Times New Roman" w:hAnsi="Times New Roman"/>
          <w:sz w:val="22"/>
          <w:szCs w:val="22"/>
          <w:lang w:val="en-US"/>
        </w:rPr>
        <w:t xml:space="preserve"> </w:t>
      </w:r>
      <w:r>
        <w:rPr>
          <w:rFonts w:ascii="Times New Roman" w:hAnsi="Times New Roman"/>
          <w:sz w:val="22"/>
          <w:szCs w:val="22"/>
          <w:lang w:val="en-US"/>
        </w:rPr>
        <w:t>Note that the theory of the ‘status quo bias’</w:t>
      </w:r>
      <w:r w:rsidRPr="003648A9">
        <w:rPr>
          <w:rFonts w:ascii="Times New Roman" w:hAnsi="Times New Roman"/>
          <w:sz w:val="22"/>
          <w:szCs w:val="22"/>
          <w:lang w:val="en-US"/>
        </w:rPr>
        <w:t xml:space="preserve"> refers to the fact that people are reluctant to depart from the status quo even though there</w:t>
      </w:r>
      <w:r>
        <w:rPr>
          <w:rFonts w:ascii="Times New Roman" w:hAnsi="Times New Roman"/>
          <w:sz w:val="22"/>
          <w:szCs w:val="22"/>
          <w:lang w:val="en-US"/>
        </w:rPr>
        <w:t xml:space="preserve"> may be substantial benefits to them from doing so. This behavior can be partially explained by loss aversion.</w:t>
      </w:r>
    </w:p>
  </w:footnote>
  <w:footnote w:id="14">
    <w:p w:rsidR="00670148" w:rsidRPr="00511EAE" w:rsidRDefault="00670148" w:rsidP="00511EAE">
      <w:pPr>
        <w:pStyle w:val="Notedebasdepage"/>
        <w:spacing w:line="240" w:lineRule="auto"/>
        <w:jc w:val="both"/>
        <w:rPr>
          <w:rFonts w:ascii="Times New Roman" w:hAnsi="Times New Roman"/>
          <w:sz w:val="22"/>
          <w:szCs w:val="22"/>
          <w:lang w:val="en-US"/>
        </w:rPr>
      </w:pPr>
      <w:r w:rsidRPr="00511EAE">
        <w:rPr>
          <w:rStyle w:val="Appelnotedebasdep"/>
          <w:rFonts w:ascii="Times New Roman" w:hAnsi="Times New Roman"/>
          <w:sz w:val="22"/>
          <w:szCs w:val="22"/>
        </w:rPr>
        <w:footnoteRef/>
      </w:r>
      <w:r w:rsidRPr="00511EAE">
        <w:rPr>
          <w:rFonts w:ascii="Times New Roman" w:hAnsi="Times New Roman"/>
          <w:sz w:val="22"/>
          <w:szCs w:val="22"/>
          <w:lang w:val="en-US"/>
        </w:rPr>
        <w:t xml:space="preserve"> </w:t>
      </w:r>
      <w:r>
        <w:rPr>
          <w:rFonts w:ascii="Times New Roman" w:hAnsi="Times New Roman"/>
          <w:sz w:val="22"/>
          <w:szCs w:val="22"/>
          <w:lang w:val="en-US"/>
        </w:rPr>
        <w:t xml:space="preserve">In this experiment, students from University of Pennsylvania were offered the choice between the two following insurance policies: </w:t>
      </w:r>
      <w:r w:rsidRPr="00511EAE">
        <w:rPr>
          <w:rFonts w:ascii="Times New Roman" w:hAnsi="Times New Roman"/>
          <w:i/>
          <w:sz w:val="22"/>
          <w:szCs w:val="22"/>
          <w:lang w:val="en-US"/>
        </w:rPr>
        <w:t>Policy One</w:t>
      </w:r>
      <w:r>
        <w:rPr>
          <w:rFonts w:ascii="Times New Roman" w:hAnsi="Times New Roman"/>
          <w:i/>
          <w:sz w:val="22"/>
          <w:szCs w:val="22"/>
          <w:lang w:val="en-US"/>
        </w:rPr>
        <w:t xml:space="preserve">, </w:t>
      </w:r>
      <w:r>
        <w:rPr>
          <w:rFonts w:ascii="Times New Roman" w:hAnsi="Times New Roman"/>
          <w:sz w:val="22"/>
          <w:szCs w:val="22"/>
          <w:lang w:val="en-US"/>
        </w:rPr>
        <w:t xml:space="preserve">which costs $1,000 and has a $600 annual deductible which will be subtracted from the total annual claims against the policy, and </w:t>
      </w:r>
      <w:r>
        <w:rPr>
          <w:rFonts w:ascii="Times New Roman" w:hAnsi="Times New Roman"/>
          <w:i/>
          <w:sz w:val="22"/>
          <w:szCs w:val="22"/>
          <w:lang w:val="en-US"/>
        </w:rPr>
        <w:t xml:space="preserve">Policy Two, </w:t>
      </w:r>
      <w:r>
        <w:rPr>
          <w:rFonts w:ascii="Times New Roman" w:hAnsi="Times New Roman"/>
          <w:sz w:val="22"/>
          <w:szCs w:val="22"/>
          <w:lang w:val="en-US"/>
        </w:rPr>
        <w:t>which costs $1,600 and has no deductible but will give a rebate of $600 at the end of the year minus any claims paid by the insurer (should the claims exceed $600, the insurer would give no rebate but will pay the claims). Although Policy Two is obviously less financially attractive than Policy One, since the rebate is essentially a $600 interest-free loan to the insurer, it was chosen by a majority of respondents.</w:t>
      </w:r>
    </w:p>
  </w:footnote>
  <w:footnote w:id="15">
    <w:p w:rsidR="007D49F3" w:rsidRPr="007D49F3" w:rsidRDefault="007D49F3" w:rsidP="00C431F8">
      <w:pPr>
        <w:spacing w:after="240" w:line="240" w:lineRule="auto"/>
        <w:jc w:val="both"/>
        <w:rPr>
          <w:rFonts w:ascii="Times New Roman" w:hAnsi="Times New Roman"/>
          <w:sz w:val="24"/>
          <w:szCs w:val="24"/>
          <w:lang w:val="en-US"/>
        </w:rPr>
      </w:pPr>
      <w:r w:rsidRPr="007D49F3">
        <w:rPr>
          <w:rStyle w:val="Appelnotedebasdep"/>
          <w:rFonts w:ascii="Times New Roman" w:hAnsi="Times New Roman"/>
        </w:rPr>
        <w:footnoteRef/>
      </w:r>
      <w:r w:rsidRPr="007D49F3">
        <w:rPr>
          <w:rFonts w:ascii="Times New Roman" w:hAnsi="Times New Roman"/>
          <w:lang w:val="en-US"/>
        </w:rPr>
        <w:t xml:space="preserve"> When we compare measures of similar order, for example, UND_3 with INFO_3, we have that: out of 228 households for which UND_3=1 (low level of understanding), 157 (68.9%) also have a low level of information (INFO_3=1); out of 108 households for which UND_2=1, 73 (67.5%) have an intermediate level of  information (INFO_2=1); and out of 23 households for which UND_1=1, 20 (86.9%) are well informed (INFO_1=1).</w:t>
      </w:r>
    </w:p>
  </w:footnote>
  <w:footnote w:id="16">
    <w:p w:rsidR="001C2FF8" w:rsidRPr="00515FE6" w:rsidRDefault="001C2FF8" w:rsidP="001C2FF8">
      <w:pPr>
        <w:pStyle w:val="Notedebasdepage"/>
        <w:jc w:val="both"/>
        <w:rPr>
          <w:rFonts w:ascii="Times New Roman" w:hAnsi="Times New Roman"/>
          <w:sz w:val="22"/>
          <w:szCs w:val="22"/>
          <w:lang w:val="en-US"/>
        </w:rPr>
      </w:pPr>
      <w:r w:rsidRPr="001C2FF8">
        <w:rPr>
          <w:rStyle w:val="Appelnotedebasdep"/>
          <w:rFonts w:ascii="Times New Roman" w:hAnsi="Times New Roman"/>
          <w:sz w:val="22"/>
          <w:szCs w:val="22"/>
        </w:rPr>
        <w:footnoteRef/>
      </w:r>
      <w:r w:rsidRPr="001C2FF8">
        <w:rPr>
          <w:rFonts w:ascii="Times New Roman" w:hAnsi="Times New Roman"/>
          <w:sz w:val="22"/>
          <w:szCs w:val="22"/>
          <w:lang w:val="en-US"/>
        </w:rPr>
        <w:t xml:space="preserve"> </w:t>
      </w:r>
      <w:r w:rsidR="00107495">
        <w:rPr>
          <w:rFonts w:ascii="Times New Roman" w:hAnsi="Times New Roman"/>
          <w:sz w:val="22"/>
          <w:szCs w:val="22"/>
          <w:lang w:val="en-US"/>
        </w:rPr>
        <w:t>We carried out statistical tests of</w:t>
      </w:r>
      <w:r w:rsidR="007A30E5">
        <w:rPr>
          <w:rFonts w:ascii="Times New Roman" w:hAnsi="Times New Roman"/>
          <w:sz w:val="22"/>
          <w:szCs w:val="22"/>
          <w:lang w:val="en-US"/>
        </w:rPr>
        <w:t xml:space="preserve"> difference-in-means comparing households for which UND_2=1 with those for which UND_2=0</w:t>
      </w:r>
      <w:r w:rsidR="00515FE6">
        <w:rPr>
          <w:rFonts w:ascii="Times New Roman" w:hAnsi="Times New Roman"/>
          <w:sz w:val="22"/>
          <w:szCs w:val="22"/>
          <w:lang w:val="en-US"/>
        </w:rPr>
        <w:t>. The only significant difference (at 90% confidence level only) is observed for income but its sign is opposite to intuition: poorer households have a slightly higher level of understanding. Yet, this result is not very robust. Indeed, when</w:t>
      </w:r>
      <w:r w:rsidR="00515FE6" w:rsidRPr="00515FE6">
        <w:rPr>
          <w:lang w:val="en-US"/>
        </w:rPr>
        <w:t xml:space="preserve"> </w:t>
      </w:r>
      <w:r w:rsidR="00515FE6" w:rsidRPr="00515FE6">
        <w:rPr>
          <w:rFonts w:ascii="Times New Roman" w:hAnsi="Times New Roman"/>
          <w:sz w:val="22"/>
          <w:szCs w:val="22"/>
          <w:lang w:val="en-US"/>
        </w:rPr>
        <w:t>we run a regressi</w:t>
      </w:r>
      <w:r w:rsidR="00515FE6">
        <w:rPr>
          <w:rFonts w:ascii="Times New Roman" w:hAnsi="Times New Roman"/>
          <w:sz w:val="22"/>
          <w:szCs w:val="22"/>
          <w:lang w:val="en-US"/>
        </w:rPr>
        <w:t>on of income on the the dummy UND</w:t>
      </w:r>
      <w:r w:rsidR="00A8002A">
        <w:rPr>
          <w:rFonts w:ascii="Times New Roman" w:hAnsi="Times New Roman"/>
          <w:sz w:val="22"/>
          <w:szCs w:val="22"/>
          <w:lang w:val="en-US"/>
        </w:rPr>
        <w:t>_2</w:t>
      </w:r>
      <w:r w:rsidR="00515FE6" w:rsidRPr="00515FE6">
        <w:rPr>
          <w:rFonts w:ascii="Times New Roman" w:hAnsi="Times New Roman"/>
          <w:sz w:val="22"/>
          <w:szCs w:val="22"/>
          <w:lang w:val="en-US"/>
        </w:rPr>
        <w:t xml:space="preserve"> </w:t>
      </w:r>
      <w:r w:rsidR="00A8002A">
        <w:rPr>
          <w:rFonts w:ascii="Times New Roman" w:hAnsi="Times New Roman"/>
          <w:sz w:val="22"/>
          <w:szCs w:val="22"/>
          <w:lang w:val="en-US"/>
        </w:rPr>
        <w:t xml:space="preserve">(so that </w:t>
      </w:r>
      <w:r w:rsidR="00515FE6" w:rsidRPr="00515FE6">
        <w:rPr>
          <w:rFonts w:ascii="Times New Roman" w:hAnsi="Times New Roman"/>
          <w:sz w:val="22"/>
          <w:szCs w:val="22"/>
          <w:lang w:val="en-US"/>
        </w:rPr>
        <w:t>the constant is the income when Und_2=0</w:t>
      </w:r>
      <w:r w:rsidR="00A8002A">
        <w:rPr>
          <w:rFonts w:ascii="Times New Roman" w:hAnsi="Times New Roman"/>
          <w:sz w:val="22"/>
          <w:szCs w:val="22"/>
          <w:lang w:val="en-US"/>
        </w:rPr>
        <w:t>,</w:t>
      </w:r>
      <w:r w:rsidR="00515FE6" w:rsidRPr="00515FE6">
        <w:rPr>
          <w:rFonts w:ascii="Times New Roman" w:hAnsi="Times New Roman"/>
          <w:sz w:val="22"/>
          <w:szCs w:val="22"/>
          <w:lang w:val="en-US"/>
        </w:rPr>
        <w:t xml:space="preserve"> and the coefficient is the</w:t>
      </w:r>
      <w:r w:rsidR="00A8002A">
        <w:rPr>
          <w:rFonts w:ascii="Times New Roman" w:hAnsi="Times New Roman"/>
          <w:sz w:val="22"/>
          <w:szCs w:val="22"/>
          <w:lang w:val="en-US"/>
        </w:rPr>
        <w:t xml:space="preserve"> difference), and we use</w:t>
      </w:r>
      <w:r w:rsidR="00515FE6" w:rsidRPr="00515FE6">
        <w:rPr>
          <w:rFonts w:ascii="Times New Roman" w:hAnsi="Times New Roman"/>
          <w:sz w:val="22"/>
          <w:szCs w:val="22"/>
          <w:lang w:val="en-US"/>
        </w:rPr>
        <w:t xml:space="preserve"> clusterized standar errors</w:t>
      </w:r>
      <w:r w:rsidR="00A8002A">
        <w:rPr>
          <w:rFonts w:ascii="Times New Roman" w:hAnsi="Times New Roman"/>
          <w:sz w:val="22"/>
          <w:szCs w:val="22"/>
          <w:lang w:val="en-US"/>
        </w:rPr>
        <w:t>,</w:t>
      </w:r>
      <w:r w:rsidR="00515FE6" w:rsidRPr="00515FE6">
        <w:rPr>
          <w:rFonts w:ascii="Times New Roman" w:hAnsi="Times New Roman"/>
          <w:sz w:val="22"/>
          <w:szCs w:val="22"/>
          <w:lang w:val="en-US"/>
        </w:rPr>
        <w:t xml:space="preserve"> the difference is not significant an</w:t>
      </w:r>
      <w:r w:rsidR="00A8002A">
        <w:rPr>
          <w:rFonts w:ascii="Times New Roman" w:hAnsi="Times New Roman"/>
          <w:sz w:val="22"/>
          <w:szCs w:val="22"/>
          <w:lang w:val="en-US"/>
        </w:rPr>
        <w:t>ymore</w:t>
      </w:r>
      <w:r w:rsidR="009D7E0B">
        <w:rPr>
          <w:rFonts w:ascii="Times New Roman" w:hAnsi="Times New Roman"/>
          <w:sz w:val="22"/>
          <w:szCs w:val="22"/>
          <w:lang w:val="en-US"/>
        </w:rPr>
        <w:t>. On the other hand, there is no evidence of inter-village differences in understanding levels.</w:t>
      </w:r>
    </w:p>
  </w:footnote>
  <w:footnote w:id="17">
    <w:p w:rsidR="00670148" w:rsidRPr="00DE528B" w:rsidRDefault="00670148" w:rsidP="00C431F8">
      <w:pPr>
        <w:pStyle w:val="Notedebasdepage"/>
        <w:spacing w:line="240" w:lineRule="auto"/>
        <w:jc w:val="both"/>
        <w:rPr>
          <w:rFonts w:ascii="Times New Roman" w:hAnsi="Times New Roman"/>
          <w:sz w:val="22"/>
          <w:szCs w:val="22"/>
          <w:lang w:val="en-US"/>
        </w:rPr>
      </w:pPr>
      <w:r w:rsidRPr="00DE528B">
        <w:rPr>
          <w:rStyle w:val="Appelnotedebasdep"/>
          <w:rFonts w:ascii="Times New Roman" w:hAnsi="Times New Roman"/>
          <w:sz w:val="22"/>
          <w:szCs w:val="22"/>
        </w:rPr>
        <w:footnoteRef/>
      </w:r>
      <w:r w:rsidRPr="00DE528B">
        <w:rPr>
          <w:rFonts w:ascii="Times New Roman" w:hAnsi="Times New Roman"/>
          <w:sz w:val="22"/>
          <w:szCs w:val="22"/>
          <w:lang w:val="en-US"/>
        </w:rPr>
        <w:t xml:space="preserve"> </w:t>
      </w:r>
      <w:r>
        <w:rPr>
          <w:rFonts w:ascii="Times New Roman" w:hAnsi="Times New Roman"/>
          <w:sz w:val="22"/>
          <w:szCs w:val="22"/>
          <w:lang w:val="en-US"/>
        </w:rPr>
        <w:t xml:space="preserve">We have not followed the alternative method consisting of computing the ratio of cost savings to the amount of </w:t>
      </w:r>
      <w:r w:rsidR="007D49F3">
        <w:rPr>
          <w:rFonts w:ascii="Times New Roman" w:hAnsi="Times New Roman"/>
          <w:sz w:val="22"/>
          <w:szCs w:val="22"/>
          <w:lang w:val="en-US"/>
        </w:rPr>
        <w:t>the premium</w:t>
      </w:r>
      <w:r>
        <w:rPr>
          <w:rFonts w:ascii="Times New Roman" w:hAnsi="Times New Roman"/>
          <w:sz w:val="22"/>
          <w:szCs w:val="22"/>
          <w:lang w:val="en-US"/>
        </w:rPr>
        <w:t>. This is because there would then be many zero values that would unnecessarily complicate the econometric analysis.</w:t>
      </w:r>
    </w:p>
  </w:footnote>
  <w:footnote w:id="18">
    <w:p w:rsidR="00C036E0" w:rsidRPr="00C036E0" w:rsidRDefault="00C036E0" w:rsidP="00C036E0">
      <w:pPr>
        <w:pStyle w:val="Notedebasdepage"/>
        <w:spacing w:line="240" w:lineRule="auto"/>
        <w:jc w:val="both"/>
        <w:rPr>
          <w:rFonts w:ascii="Times New Roman" w:hAnsi="Times New Roman"/>
          <w:sz w:val="22"/>
          <w:szCs w:val="22"/>
          <w:lang w:val="en-US"/>
        </w:rPr>
      </w:pPr>
      <w:r w:rsidRPr="00C036E0">
        <w:rPr>
          <w:rStyle w:val="Appelnotedebasdep"/>
          <w:rFonts w:ascii="Times New Roman" w:hAnsi="Times New Roman"/>
          <w:sz w:val="22"/>
          <w:szCs w:val="22"/>
        </w:rPr>
        <w:footnoteRef/>
      </w:r>
      <w:r w:rsidRPr="00C036E0">
        <w:rPr>
          <w:rFonts w:ascii="Times New Roman" w:hAnsi="Times New Roman"/>
          <w:sz w:val="22"/>
          <w:szCs w:val="22"/>
          <w:lang w:val="en-US"/>
        </w:rPr>
        <w:t xml:space="preserve"> Thus, as many as </w:t>
      </w:r>
      <w:r w:rsidRPr="00C036E0">
        <w:rPr>
          <w:rFonts w:ascii="Times New Roman" w:hAnsi="Times New Roman"/>
          <w:noProof/>
          <w:sz w:val="22"/>
          <w:szCs w:val="22"/>
          <w:lang w:val="en-US" w:eastAsia="fr-BE"/>
        </w:rPr>
        <w:t>87% of the households which dropped out did not know the amount of the discount granted by the insurance scheme, while 69% of them did not know how to renew their contract, and 78% of them expected to receive discounts in any health facilty. By contrast, the proportions for households which did renew their insurance contract are 65%, 36%, and 42%, respectively.</w:t>
      </w:r>
    </w:p>
  </w:footnote>
  <w:footnote w:id="19">
    <w:p w:rsidR="00670148" w:rsidRPr="00AC6747" w:rsidRDefault="00670148" w:rsidP="00AC6747">
      <w:pPr>
        <w:pStyle w:val="Notedebasdepage"/>
        <w:jc w:val="both"/>
        <w:rPr>
          <w:rFonts w:ascii="Times New Roman" w:hAnsi="Times New Roman"/>
          <w:sz w:val="22"/>
          <w:szCs w:val="22"/>
          <w:lang w:val="en-US"/>
        </w:rPr>
      </w:pPr>
      <w:r w:rsidRPr="00AC6747">
        <w:rPr>
          <w:rStyle w:val="Appelnotedebasdep"/>
          <w:rFonts w:ascii="Times New Roman" w:hAnsi="Times New Roman"/>
          <w:sz w:val="22"/>
          <w:szCs w:val="22"/>
        </w:rPr>
        <w:footnoteRef/>
      </w:r>
      <w:r w:rsidRPr="00AC6747">
        <w:rPr>
          <w:rFonts w:ascii="Times New Roman" w:hAnsi="Times New Roman"/>
          <w:sz w:val="22"/>
          <w:szCs w:val="22"/>
          <w:lang w:val="en-US"/>
        </w:rPr>
        <w:t xml:space="preserve"> </w:t>
      </w:r>
      <w:r>
        <w:rPr>
          <w:rFonts w:ascii="Times New Roman" w:hAnsi="Times New Roman"/>
          <w:sz w:val="22"/>
          <w:szCs w:val="22"/>
          <w:lang w:val="en-US"/>
        </w:rPr>
        <w:t xml:space="preserve">According to expected utility theory, risk-averse people are willing to pay a premium greater than the expected value of losses from the insured risky events. However, the gap between the average insurance premium and the average benefits recorded for our sample subscriber households is too large to be accounted for in terms of this standard explanation only. The abnormally low rate of use of the insurance policy appears to be the main factor behind such a gap. </w:t>
      </w:r>
    </w:p>
  </w:footnote>
  <w:footnote w:id="20">
    <w:p w:rsidR="00670148" w:rsidRPr="001172B4" w:rsidRDefault="00670148" w:rsidP="00D20C45">
      <w:pPr>
        <w:pStyle w:val="Notedebasdepage"/>
        <w:spacing w:line="240" w:lineRule="auto"/>
        <w:jc w:val="both"/>
        <w:rPr>
          <w:rFonts w:ascii="Times New Roman" w:hAnsi="Times New Roman"/>
          <w:sz w:val="22"/>
          <w:szCs w:val="22"/>
          <w:lang w:val="en-US"/>
        </w:rPr>
      </w:pPr>
      <w:r w:rsidRPr="001172B4">
        <w:rPr>
          <w:rStyle w:val="Appelnotedebasdep"/>
          <w:rFonts w:ascii="Times New Roman" w:hAnsi="Times New Roman"/>
          <w:sz w:val="22"/>
          <w:szCs w:val="22"/>
        </w:rPr>
        <w:footnoteRef/>
      </w:r>
      <w:r>
        <w:rPr>
          <w:rFonts w:ascii="Times New Roman" w:hAnsi="Times New Roman"/>
          <w:sz w:val="22"/>
          <w:szCs w:val="22"/>
          <w:lang w:val="en-US"/>
        </w:rPr>
        <w:t xml:space="preserve"> In the light of our findings reported in Table 2, there was no hope that the health status of the household before the program started (whether at least one its members fell sick during the period 2009-2010)</w:t>
      </w:r>
      <w:r w:rsidRPr="001172B4">
        <w:rPr>
          <w:rFonts w:ascii="Times New Roman" w:hAnsi="Times New Roman"/>
          <w:sz w:val="22"/>
          <w:szCs w:val="22"/>
          <w:lang w:val="en-US"/>
        </w:rPr>
        <w:t xml:space="preserve"> </w:t>
      </w:r>
      <w:r>
        <w:rPr>
          <w:rFonts w:ascii="Times New Roman" w:hAnsi="Times New Roman"/>
          <w:sz w:val="22"/>
          <w:szCs w:val="22"/>
          <w:lang w:val="en-US"/>
        </w:rPr>
        <w:t xml:space="preserve">could prove to be a valid instrument. </w:t>
      </w:r>
    </w:p>
  </w:footnote>
  <w:footnote w:id="21">
    <w:p w:rsidR="00670148" w:rsidRPr="00650B13" w:rsidRDefault="00670148" w:rsidP="00D20C45">
      <w:pPr>
        <w:pStyle w:val="Notedebasdepage"/>
        <w:spacing w:line="240" w:lineRule="auto"/>
        <w:jc w:val="both"/>
        <w:rPr>
          <w:rFonts w:ascii="Times New Roman" w:hAnsi="Times New Roman"/>
          <w:sz w:val="22"/>
          <w:szCs w:val="22"/>
          <w:lang w:val="en-US"/>
        </w:rPr>
      </w:pPr>
      <w:r w:rsidRPr="00650B13">
        <w:rPr>
          <w:rStyle w:val="Appelnotedebasdep"/>
          <w:rFonts w:ascii="Times New Roman" w:hAnsi="Times New Roman"/>
          <w:sz w:val="22"/>
          <w:szCs w:val="22"/>
        </w:rPr>
        <w:footnoteRef/>
      </w:r>
      <w:r w:rsidRPr="00650B13">
        <w:rPr>
          <w:rFonts w:ascii="Times New Roman" w:hAnsi="Times New Roman"/>
          <w:sz w:val="22"/>
          <w:szCs w:val="22"/>
          <w:lang w:val="en-US"/>
        </w:rPr>
        <w:t xml:space="preserve"> This implies that our set of controls is not exactly identical between the first and the second stage equations. Indeed, the health status variable, which is present in both equations, refers to the state of health pertaining to two different periods of time (2009-2010 or 2010-2011) depending on which equation is considered.</w:t>
      </w:r>
    </w:p>
  </w:footnote>
  <w:footnote w:id="22">
    <w:p w:rsidR="00516323" w:rsidRPr="00516323" w:rsidRDefault="00516323" w:rsidP="00516323">
      <w:pPr>
        <w:pStyle w:val="Notedebasdepage"/>
        <w:spacing w:line="240" w:lineRule="auto"/>
        <w:jc w:val="both"/>
        <w:rPr>
          <w:rFonts w:ascii="Times New Roman" w:hAnsi="Times New Roman"/>
          <w:sz w:val="22"/>
          <w:szCs w:val="22"/>
          <w:lang w:val="en-US"/>
        </w:rPr>
      </w:pPr>
      <w:r w:rsidRPr="00516323">
        <w:rPr>
          <w:rStyle w:val="Appelnotedebasdep"/>
          <w:rFonts w:ascii="Times New Roman" w:hAnsi="Times New Roman"/>
          <w:sz w:val="22"/>
          <w:szCs w:val="22"/>
        </w:rPr>
        <w:footnoteRef/>
      </w:r>
      <w:r w:rsidRPr="00516323">
        <w:rPr>
          <w:rFonts w:ascii="Times New Roman" w:hAnsi="Times New Roman"/>
          <w:sz w:val="22"/>
          <w:szCs w:val="22"/>
          <w:lang w:val="en-US"/>
        </w:rPr>
        <w:t xml:space="preserve"> No other test is available because the endogenous explanatory variables are constant for the observed values of the dependent variable in the second-stage equation.</w:t>
      </w:r>
    </w:p>
  </w:footnote>
  <w:footnote w:id="23">
    <w:p w:rsidR="00670148" w:rsidRPr="0015508E" w:rsidRDefault="00670148" w:rsidP="00D20C45">
      <w:pPr>
        <w:pStyle w:val="Notedebasdepage"/>
        <w:spacing w:line="240" w:lineRule="auto"/>
        <w:jc w:val="both"/>
        <w:rPr>
          <w:rFonts w:ascii="Times New Roman" w:hAnsi="Times New Roman"/>
          <w:sz w:val="22"/>
          <w:szCs w:val="22"/>
          <w:lang w:val="en-US"/>
        </w:rPr>
      </w:pPr>
      <w:r w:rsidRPr="0015508E">
        <w:rPr>
          <w:rStyle w:val="Appelnotedebasdep"/>
          <w:rFonts w:ascii="Times New Roman" w:hAnsi="Times New Roman"/>
          <w:sz w:val="22"/>
          <w:szCs w:val="22"/>
        </w:rPr>
        <w:footnoteRef/>
      </w:r>
      <w:r w:rsidRPr="0015508E">
        <w:rPr>
          <w:rFonts w:ascii="Times New Roman" w:hAnsi="Times New Roman"/>
          <w:sz w:val="22"/>
          <w:szCs w:val="22"/>
          <w:lang w:val="en-US"/>
        </w:rPr>
        <w:t xml:space="preserve"> Since the median </w:t>
      </w:r>
      <w:r>
        <w:rPr>
          <w:rFonts w:ascii="Times New Roman" w:hAnsi="Times New Roman"/>
          <w:sz w:val="22"/>
          <w:szCs w:val="22"/>
          <w:lang w:val="en-US"/>
        </w:rPr>
        <w:t>income in our sample is around 7</w:t>
      </w:r>
      <w:r w:rsidRPr="0015508E">
        <w:rPr>
          <w:rFonts w:ascii="Times New Roman" w:hAnsi="Times New Roman"/>
          <w:sz w:val="22"/>
          <w:szCs w:val="22"/>
          <w:lang w:val="en-US"/>
        </w:rPr>
        <w:t xml:space="preserve">00 Rs, the implication is that at least half of the sample population can be considered as poor, by Indian standards. </w:t>
      </w:r>
      <w:r>
        <w:rPr>
          <w:rFonts w:ascii="Times New Roman" w:hAnsi="Times New Roman"/>
          <w:sz w:val="22"/>
          <w:szCs w:val="22"/>
          <w:lang w:val="en-US"/>
        </w:rPr>
        <w:t>Moreover, u</w:t>
      </w:r>
      <w:r w:rsidRPr="0015508E">
        <w:rPr>
          <w:rFonts w:ascii="Times New Roman" w:hAnsi="Times New Roman"/>
          <w:sz w:val="22"/>
          <w:szCs w:val="22"/>
          <w:lang w:val="en-US"/>
        </w:rPr>
        <w:t>sing tertile dummies instead of continuous measures of incomes and assets in the selection equation does not affect the estimates obtained in the second stage (whether in terms of statistical significance of the coefficients of the various regressors or in terms of their size). This holds true not only for the present but also for the following r</w:t>
      </w:r>
      <w:r>
        <w:rPr>
          <w:rFonts w:ascii="Times New Roman" w:hAnsi="Times New Roman"/>
          <w:sz w:val="22"/>
          <w:szCs w:val="22"/>
          <w:lang w:val="en-US"/>
        </w:rPr>
        <w:t>egress</w:t>
      </w:r>
      <w:r w:rsidR="00A82815">
        <w:rPr>
          <w:rFonts w:ascii="Times New Roman" w:hAnsi="Times New Roman"/>
          <w:sz w:val="22"/>
          <w:szCs w:val="22"/>
          <w:lang w:val="en-US"/>
        </w:rPr>
        <w:t>ion estimates (in Tables 5 and Appendix B</w:t>
      </w:r>
      <w:r w:rsidRPr="0015508E">
        <w:rPr>
          <w:rFonts w:ascii="Times New Roman" w:hAnsi="Times New Roman"/>
          <w:sz w:val="22"/>
          <w:szCs w:val="22"/>
          <w:lang w:val="en-US"/>
        </w:rPr>
        <w:t xml:space="preserve"> ─results not shown).</w:t>
      </w:r>
    </w:p>
  </w:footnote>
  <w:footnote w:id="24">
    <w:p w:rsidR="00670148" w:rsidRPr="007844C3" w:rsidRDefault="00670148">
      <w:pPr>
        <w:pStyle w:val="Notedebasdepage"/>
        <w:rPr>
          <w:rFonts w:ascii="Times New Roman" w:hAnsi="Times New Roman"/>
          <w:sz w:val="22"/>
          <w:szCs w:val="22"/>
          <w:lang w:val="en-US"/>
        </w:rPr>
      </w:pPr>
      <w:r>
        <w:rPr>
          <w:rStyle w:val="Appelnotedebasdep"/>
        </w:rPr>
        <w:footnoteRef/>
      </w:r>
      <w:r w:rsidRPr="007844C3">
        <w:rPr>
          <w:lang w:val="en-US"/>
        </w:rPr>
        <w:t xml:space="preserve"> </w:t>
      </w:r>
      <w:r w:rsidRPr="007844C3">
        <w:rPr>
          <w:rFonts w:ascii="Times New Roman" w:hAnsi="Times New Roman"/>
          <w:lang w:val="en-US"/>
        </w:rPr>
        <w:t xml:space="preserve">Indeed, many insurance decisions appear to be based </w:t>
      </w:r>
      <w:r>
        <w:rPr>
          <w:rFonts w:ascii="Times New Roman" w:hAnsi="Times New Roman"/>
          <w:lang w:val="en-US"/>
        </w:rPr>
        <w:t>“</w:t>
      </w:r>
      <w:r w:rsidRPr="007844C3">
        <w:rPr>
          <w:rFonts w:ascii="Times New Roman" w:hAnsi="Times New Roman"/>
          <w:lang w:val="en-US"/>
        </w:rPr>
        <w:t>on what other people are doing or on what those who one respects believe is an appropriate action to take</w:t>
      </w:r>
      <w:r>
        <w:rPr>
          <w:rFonts w:ascii="Times New Roman" w:hAnsi="Times New Roman"/>
          <w:lang w:val="en-US"/>
        </w:rPr>
        <w:t>” (Kunreuther et al., 2013: 107).</w:t>
      </w:r>
      <w:r w:rsidRPr="007844C3">
        <w:rPr>
          <w:rFonts w:ascii="Times New Roman" w:hAnsi="Times New Roman"/>
          <w:lang w:val="en-US"/>
        </w:rPr>
        <w:t> </w:t>
      </w:r>
    </w:p>
  </w:footnote>
  <w:footnote w:id="25">
    <w:p w:rsidR="00670148" w:rsidRPr="001E5551" w:rsidRDefault="00670148" w:rsidP="00D20C45">
      <w:pPr>
        <w:pStyle w:val="Notedebasdepage"/>
        <w:spacing w:line="240" w:lineRule="auto"/>
        <w:jc w:val="both"/>
        <w:rPr>
          <w:rFonts w:ascii="Times New Roman" w:hAnsi="Times New Roman"/>
          <w:sz w:val="22"/>
          <w:szCs w:val="22"/>
          <w:lang w:val="en-US"/>
        </w:rPr>
      </w:pPr>
      <w:r w:rsidRPr="00650B13">
        <w:rPr>
          <w:rStyle w:val="Appelnotedebasdep"/>
          <w:rFonts w:ascii="Times New Roman" w:hAnsi="Times New Roman"/>
          <w:sz w:val="22"/>
          <w:szCs w:val="22"/>
        </w:rPr>
        <w:footnoteRef/>
      </w:r>
      <w:r w:rsidRPr="001E5551">
        <w:rPr>
          <w:rFonts w:ascii="Times New Roman" w:hAnsi="Times New Roman"/>
          <w:sz w:val="22"/>
          <w:szCs w:val="22"/>
          <w:lang w:val="en-US"/>
        </w:rPr>
        <w:t xml:space="preserve"> </w:t>
      </w:r>
      <w:r>
        <w:rPr>
          <w:rFonts w:ascii="Times New Roman" w:hAnsi="Times New Roman"/>
          <w:sz w:val="22"/>
          <w:szCs w:val="22"/>
          <w:lang w:val="en-US"/>
        </w:rPr>
        <w:t>In the absence of reliable instruments, we have tested for</w:t>
      </w:r>
      <w:r w:rsidRPr="00496078">
        <w:rPr>
          <w:rFonts w:ascii="Times New Roman" w:hAnsi="Times New Roman"/>
          <w:sz w:val="22"/>
          <w:szCs w:val="22"/>
          <w:lang w:val="en-US"/>
        </w:rPr>
        <w:t xml:space="preserve"> the endogeneity </w:t>
      </w:r>
      <w:r>
        <w:rPr>
          <w:rFonts w:ascii="Times New Roman" w:hAnsi="Times New Roman"/>
          <w:sz w:val="22"/>
          <w:szCs w:val="22"/>
          <w:lang w:val="en-US"/>
        </w:rPr>
        <w:t>bias</w:t>
      </w:r>
      <w:r w:rsidRPr="00496078">
        <w:rPr>
          <w:rFonts w:ascii="Times New Roman" w:hAnsi="Times New Roman"/>
          <w:sz w:val="22"/>
          <w:szCs w:val="22"/>
          <w:lang w:val="en-US"/>
        </w:rPr>
        <w:t xml:space="preserve"> </w:t>
      </w:r>
      <w:r>
        <w:rPr>
          <w:rFonts w:ascii="Times New Roman" w:hAnsi="Times New Roman"/>
          <w:sz w:val="22"/>
          <w:szCs w:val="22"/>
          <w:lang w:val="en-US"/>
        </w:rPr>
        <w:t xml:space="preserve">by </w:t>
      </w:r>
      <w:r w:rsidRPr="00496078">
        <w:rPr>
          <w:rFonts w:ascii="Times New Roman" w:hAnsi="Times New Roman"/>
          <w:sz w:val="22"/>
          <w:szCs w:val="22"/>
          <w:lang w:val="en-US"/>
        </w:rPr>
        <w:t>using as excluded restrictions a set of internally generated instruments</w:t>
      </w:r>
      <w:r>
        <w:rPr>
          <w:rFonts w:ascii="Times New Roman" w:hAnsi="Times New Roman"/>
          <w:sz w:val="22"/>
          <w:szCs w:val="22"/>
          <w:lang w:val="en-US"/>
        </w:rPr>
        <w:t>,</w:t>
      </w:r>
      <w:r w:rsidRPr="00496078">
        <w:rPr>
          <w:rFonts w:ascii="Times New Roman" w:hAnsi="Times New Roman"/>
          <w:sz w:val="22"/>
          <w:szCs w:val="22"/>
          <w:lang w:val="en-US"/>
        </w:rPr>
        <w:t xml:space="preserve"> following</w:t>
      </w:r>
      <w:r>
        <w:rPr>
          <w:rFonts w:ascii="Times New Roman" w:hAnsi="Times New Roman"/>
          <w:sz w:val="22"/>
          <w:szCs w:val="22"/>
          <w:lang w:val="en-US"/>
        </w:rPr>
        <w:t xml:space="preserve"> the approach recently proposed by</w:t>
      </w:r>
      <w:r w:rsidRPr="00496078">
        <w:rPr>
          <w:rFonts w:ascii="Times New Roman" w:hAnsi="Times New Roman"/>
          <w:sz w:val="22"/>
          <w:szCs w:val="22"/>
          <w:lang w:val="en-US"/>
        </w:rPr>
        <w:t xml:space="preserve"> Lewbel (2012). The results obtained are similar in size and significance to those presented in this section.</w:t>
      </w:r>
      <w:r w:rsidRPr="001E5551">
        <w:rPr>
          <w:rFonts w:ascii="Times New Roman" w:hAnsi="Times New Roman"/>
          <w:sz w:val="22"/>
          <w:szCs w:val="22"/>
          <w:lang w:val="en-US"/>
        </w:rPr>
        <w:t xml:space="preserve"> </w:t>
      </w:r>
    </w:p>
  </w:footnote>
  <w:footnote w:id="26">
    <w:p w:rsidR="00670148" w:rsidRPr="00723571" w:rsidRDefault="00670148" w:rsidP="00D20C45">
      <w:pPr>
        <w:pStyle w:val="Notedebasdepage"/>
        <w:spacing w:line="240" w:lineRule="auto"/>
        <w:jc w:val="both"/>
        <w:rPr>
          <w:rFonts w:ascii="Times New Roman" w:hAnsi="Times New Roman"/>
          <w:sz w:val="22"/>
          <w:szCs w:val="22"/>
          <w:lang w:val="en-US"/>
        </w:rPr>
      </w:pPr>
      <w:r w:rsidRPr="00DE0902">
        <w:rPr>
          <w:rStyle w:val="Appelnotedebasdep"/>
          <w:rFonts w:ascii="Times New Roman" w:hAnsi="Times New Roman"/>
          <w:sz w:val="22"/>
          <w:szCs w:val="22"/>
        </w:rPr>
        <w:footnoteRef/>
      </w:r>
      <w:r w:rsidRPr="00DE0902">
        <w:rPr>
          <w:rFonts w:ascii="Times New Roman" w:hAnsi="Times New Roman"/>
          <w:sz w:val="22"/>
          <w:szCs w:val="22"/>
          <w:lang w:val="en-US"/>
        </w:rPr>
        <w:t xml:space="preserve"> </w:t>
      </w:r>
      <w:r>
        <w:rPr>
          <w:rFonts w:ascii="Times New Roman" w:hAnsi="Times New Roman"/>
          <w:sz w:val="22"/>
          <w:szCs w:val="22"/>
          <w:lang w:val="en-US"/>
        </w:rPr>
        <w:t xml:space="preserve">With the LP model and village fixed effects, the coefficient of </w:t>
      </w:r>
      <w:r>
        <w:rPr>
          <w:rFonts w:ascii="Times New Roman" w:hAnsi="Times New Roman"/>
          <w:i/>
          <w:sz w:val="22"/>
          <w:szCs w:val="22"/>
          <w:lang w:val="en-US"/>
        </w:rPr>
        <w:t xml:space="preserve">UND_C </w:t>
      </w:r>
      <w:r>
        <w:rPr>
          <w:rFonts w:ascii="Times New Roman" w:hAnsi="Times New Roman"/>
          <w:sz w:val="22"/>
          <w:szCs w:val="22"/>
          <w:lang w:val="en-US"/>
        </w:rPr>
        <w:t xml:space="preserve">is 0.46 compared to 0.16 for </w:t>
      </w:r>
      <w:r>
        <w:rPr>
          <w:rFonts w:ascii="Times New Roman" w:hAnsi="Times New Roman"/>
          <w:i/>
          <w:sz w:val="22"/>
          <w:szCs w:val="22"/>
          <w:lang w:val="en-US"/>
        </w:rPr>
        <w:t>UND_B</w:t>
      </w:r>
      <w:r>
        <w:rPr>
          <w:rFonts w:ascii="Times New Roman" w:hAnsi="Times New Roman"/>
          <w:sz w:val="22"/>
          <w:szCs w:val="22"/>
          <w:lang w:val="en-US"/>
        </w:rPr>
        <w:t>.</w:t>
      </w:r>
    </w:p>
  </w:footnote>
  <w:footnote w:id="27">
    <w:p w:rsidR="00670148" w:rsidRPr="00AB43A9" w:rsidRDefault="00670148" w:rsidP="00D20C45">
      <w:pPr>
        <w:pStyle w:val="Notedebasdepage"/>
        <w:spacing w:line="240" w:lineRule="auto"/>
        <w:jc w:val="both"/>
        <w:rPr>
          <w:rFonts w:ascii="Times New Roman" w:hAnsi="Times New Roman"/>
          <w:sz w:val="22"/>
          <w:szCs w:val="22"/>
          <w:lang w:val="en-US"/>
        </w:rPr>
      </w:pPr>
      <w:r w:rsidRPr="0017491A">
        <w:rPr>
          <w:rStyle w:val="Appelnotedebasdep"/>
          <w:rFonts w:ascii="Times New Roman" w:hAnsi="Times New Roman"/>
          <w:sz w:val="22"/>
          <w:szCs w:val="22"/>
        </w:rPr>
        <w:footnoteRef/>
      </w:r>
      <w:r w:rsidRPr="0017491A">
        <w:rPr>
          <w:rFonts w:ascii="Times New Roman" w:hAnsi="Times New Roman"/>
          <w:sz w:val="22"/>
          <w:szCs w:val="22"/>
          <w:lang w:val="en-US"/>
        </w:rPr>
        <w:t xml:space="preserve"> </w:t>
      </w:r>
      <w:r>
        <w:rPr>
          <w:rFonts w:ascii="Times New Roman" w:hAnsi="Times New Roman"/>
          <w:sz w:val="22"/>
          <w:szCs w:val="22"/>
          <w:lang w:val="en-US"/>
        </w:rPr>
        <w:t xml:space="preserve">As a matter of fact, we did not use a measure of actual use of the insurance contract as a regressor because it is too much correlated with the net payout variable. The correlation between the dummy measuring whether the insurance was actually used and the </w:t>
      </w:r>
      <w:r>
        <w:rPr>
          <w:rFonts w:ascii="Times New Roman" w:hAnsi="Times New Roman"/>
          <w:i/>
          <w:sz w:val="22"/>
          <w:szCs w:val="22"/>
          <w:lang w:val="en-US"/>
        </w:rPr>
        <w:t xml:space="preserve">Payout </w:t>
      </w:r>
      <w:r>
        <w:rPr>
          <w:rFonts w:ascii="Times New Roman" w:hAnsi="Times New Roman"/>
          <w:sz w:val="22"/>
          <w:szCs w:val="22"/>
          <w:lang w:val="en-US"/>
        </w:rPr>
        <w:t>variable measured by the median dummy is quite strong since 51.6 percent of the households which did not actually use the insurance received a net payout smaller than the median. By contrast, 72.6 percent of those which used it received a net payout higher than the median.</w:t>
      </w:r>
    </w:p>
  </w:footnote>
  <w:footnote w:id="28">
    <w:p w:rsidR="00670148" w:rsidRPr="00460F2C" w:rsidRDefault="00670148" w:rsidP="00D20C45">
      <w:pPr>
        <w:pStyle w:val="Notedebasdepage"/>
        <w:spacing w:line="240" w:lineRule="auto"/>
        <w:jc w:val="both"/>
        <w:rPr>
          <w:rFonts w:ascii="Times New Roman" w:hAnsi="Times New Roman"/>
          <w:sz w:val="22"/>
          <w:szCs w:val="22"/>
          <w:lang w:val="en-US"/>
        </w:rPr>
      </w:pPr>
      <w:r w:rsidRPr="00460F2C">
        <w:rPr>
          <w:rStyle w:val="Appelnotedebasdep"/>
          <w:rFonts w:ascii="Times New Roman" w:hAnsi="Times New Roman"/>
          <w:sz w:val="22"/>
          <w:szCs w:val="22"/>
        </w:rPr>
        <w:footnoteRef/>
      </w:r>
      <w:r w:rsidRPr="00460F2C">
        <w:rPr>
          <w:rFonts w:ascii="Times New Roman" w:hAnsi="Times New Roman"/>
          <w:sz w:val="22"/>
          <w:szCs w:val="22"/>
          <w:lang w:val="en-US"/>
        </w:rPr>
        <w:t xml:space="preserve"> </w:t>
      </w:r>
      <w:r>
        <w:rPr>
          <w:rFonts w:ascii="Times New Roman" w:hAnsi="Times New Roman"/>
          <w:sz w:val="22"/>
          <w:szCs w:val="22"/>
          <w:lang w:val="en-US"/>
        </w:rPr>
        <w:t xml:space="preserve">We could not repeat the attempt with the variable </w:t>
      </w:r>
      <w:r>
        <w:rPr>
          <w:rFonts w:ascii="Times New Roman" w:hAnsi="Times New Roman"/>
          <w:i/>
          <w:sz w:val="22"/>
          <w:szCs w:val="22"/>
          <w:lang w:val="en-US"/>
        </w:rPr>
        <w:t xml:space="preserve">use </w:t>
      </w:r>
      <w:r>
        <w:rPr>
          <w:rFonts w:ascii="Times New Roman" w:hAnsi="Times New Roman"/>
          <w:sz w:val="22"/>
          <w:szCs w:val="22"/>
          <w:lang w:val="en-US"/>
        </w:rPr>
        <w:t>(the dummy equal to one if the household has used the insurance), because it is too strongly correlated with the information variable.</w:t>
      </w:r>
    </w:p>
  </w:footnote>
  <w:footnote w:id="29">
    <w:p w:rsidR="00670148" w:rsidRPr="00EF5D7B" w:rsidRDefault="00670148" w:rsidP="00D20C45">
      <w:pPr>
        <w:pStyle w:val="Notedebasdepage"/>
        <w:spacing w:line="240" w:lineRule="auto"/>
        <w:jc w:val="both"/>
        <w:rPr>
          <w:rFonts w:ascii="Times New Roman" w:hAnsi="Times New Roman"/>
          <w:sz w:val="22"/>
          <w:szCs w:val="22"/>
          <w:lang w:val="en-US"/>
        </w:rPr>
      </w:pPr>
      <w:r w:rsidRPr="00EF5D7B">
        <w:rPr>
          <w:rStyle w:val="Appelnotedebasdep"/>
          <w:rFonts w:ascii="Times New Roman" w:hAnsi="Times New Roman"/>
          <w:sz w:val="22"/>
          <w:szCs w:val="22"/>
        </w:rPr>
        <w:footnoteRef/>
      </w:r>
      <w:r w:rsidRPr="00EF5D7B">
        <w:rPr>
          <w:rFonts w:ascii="Times New Roman" w:hAnsi="Times New Roman"/>
          <w:sz w:val="22"/>
          <w:szCs w:val="22"/>
          <w:lang w:val="en-US"/>
        </w:rPr>
        <w:t xml:space="preserve"> </w:t>
      </w:r>
      <w:r>
        <w:rPr>
          <w:rFonts w:ascii="Times New Roman" w:hAnsi="Times New Roman"/>
          <w:sz w:val="22"/>
          <w:szCs w:val="22"/>
          <w:lang w:val="en-US"/>
        </w:rPr>
        <w:t>We thank Rachid Laajaj for having clarified this point for us.</w:t>
      </w:r>
    </w:p>
  </w:footnote>
  <w:footnote w:id="30">
    <w:p w:rsidR="00670148" w:rsidRPr="00A911A4" w:rsidRDefault="00670148" w:rsidP="00D20C45">
      <w:pPr>
        <w:pStyle w:val="Notedebasdepage"/>
        <w:spacing w:line="240" w:lineRule="auto"/>
        <w:jc w:val="both"/>
        <w:rPr>
          <w:rFonts w:ascii="Times New Roman" w:hAnsi="Times New Roman"/>
          <w:color w:val="000000"/>
          <w:sz w:val="22"/>
          <w:szCs w:val="22"/>
          <w:lang w:val="en-US"/>
        </w:rPr>
      </w:pPr>
      <w:r w:rsidRPr="00A054A5">
        <w:rPr>
          <w:rStyle w:val="Appelnotedebasdep"/>
          <w:sz w:val="22"/>
          <w:szCs w:val="22"/>
        </w:rPr>
        <w:footnoteRef/>
      </w:r>
      <w:r w:rsidRPr="001E5551">
        <w:rPr>
          <w:sz w:val="22"/>
          <w:szCs w:val="22"/>
          <w:lang w:val="en-US"/>
        </w:rPr>
        <w:t xml:space="preserve"> </w:t>
      </w:r>
      <w:r>
        <w:rPr>
          <w:rFonts w:ascii="Times New Roman" w:hAnsi="Times New Roman"/>
          <w:color w:val="000000"/>
          <w:sz w:val="22"/>
          <w:szCs w:val="22"/>
          <w:lang w:val="en-US"/>
        </w:rPr>
        <w:t>Bearing in mind</w:t>
      </w:r>
      <w:r w:rsidRPr="00AF1820">
        <w:rPr>
          <w:rFonts w:ascii="Times New Roman" w:hAnsi="Times New Roman"/>
          <w:color w:val="000000"/>
          <w:sz w:val="22"/>
          <w:szCs w:val="22"/>
          <w:lang w:val="en-US"/>
        </w:rPr>
        <w:t xml:space="preserve"> that the mar</w:t>
      </w:r>
      <w:r>
        <w:rPr>
          <w:rFonts w:ascii="Times New Roman" w:hAnsi="Times New Roman"/>
          <w:color w:val="000000"/>
          <w:sz w:val="22"/>
          <w:szCs w:val="22"/>
          <w:lang w:val="en-US"/>
        </w:rPr>
        <w:t>ginal effect of a change in the</w:t>
      </w:r>
      <w:r w:rsidRPr="00AF1820">
        <w:rPr>
          <w:rFonts w:ascii="Times New Roman" w:hAnsi="Times New Roman"/>
          <w:color w:val="000000"/>
          <w:sz w:val="22"/>
          <w:szCs w:val="22"/>
          <w:lang w:val="en-US"/>
        </w:rPr>
        <w:t xml:space="preserve"> interacted variables is not equal to the marginal effect of a change in the interacted term</w:t>
      </w:r>
      <w:r>
        <w:rPr>
          <w:rFonts w:ascii="Times New Roman" w:hAnsi="Times New Roman"/>
          <w:color w:val="000000"/>
          <w:sz w:val="22"/>
          <w:szCs w:val="22"/>
          <w:lang w:val="en-US"/>
        </w:rPr>
        <w:t>,</w:t>
      </w:r>
      <w:r w:rsidRPr="00AF1820">
        <w:rPr>
          <w:rFonts w:ascii="Times New Roman" w:hAnsi="Times New Roman"/>
          <w:color w:val="000000"/>
          <w:sz w:val="22"/>
          <w:szCs w:val="22"/>
          <w:lang w:val="en-US"/>
        </w:rPr>
        <w:t xml:space="preserve"> </w:t>
      </w:r>
      <w:r>
        <w:rPr>
          <w:rFonts w:ascii="Times New Roman" w:hAnsi="Times New Roman"/>
          <w:color w:val="000000"/>
          <w:sz w:val="22"/>
          <w:szCs w:val="22"/>
          <w:lang w:val="en-US"/>
        </w:rPr>
        <w:t xml:space="preserve">we have estimated </w:t>
      </w:r>
      <w:r w:rsidRPr="00AF1820">
        <w:rPr>
          <w:rFonts w:ascii="Times New Roman" w:hAnsi="Times New Roman"/>
          <w:color w:val="000000"/>
          <w:sz w:val="22"/>
          <w:szCs w:val="22"/>
          <w:lang w:val="en-US"/>
        </w:rPr>
        <w:t>the</w:t>
      </w:r>
      <w:r>
        <w:rPr>
          <w:rFonts w:ascii="Times New Roman" w:hAnsi="Times New Roman"/>
          <w:color w:val="000000"/>
          <w:sz w:val="22"/>
          <w:szCs w:val="22"/>
          <w:lang w:val="en-US"/>
        </w:rPr>
        <w:t xml:space="preserve"> marginal effects</w:t>
      </w:r>
      <w:r w:rsidRPr="00AF1820">
        <w:rPr>
          <w:rFonts w:ascii="Times New Roman" w:hAnsi="Times New Roman"/>
          <w:color w:val="000000"/>
          <w:sz w:val="22"/>
          <w:szCs w:val="22"/>
          <w:lang w:val="en-US"/>
        </w:rPr>
        <w:t xml:space="preserve"> following</w:t>
      </w:r>
      <w:r>
        <w:rPr>
          <w:rFonts w:ascii="Times New Roman" w:hAnsi="Times New Roman"/>
          <w:color w:val="000000"/>
          <w:sz w:val="22"/>
          <w:szCs w:val="22"/>
          <w:lang w:val="en-US"/>
        </w:rPr>
        <w:t xml:space="preserve"> the method proposed by</w:t>
      </w:r>
      <w:r w:rsidRPr="00AF1820">
        <w:rPr>
          <w:rFonts w:ascii="Times New Roman" w:hAnsi="Times New Roman"/>
          <w:color w:val="000000"/>
          <w:sz w:val="22"/>
          <w:szCs w:val="22"/>
          <w:lang w:val="en-US"/>
        </w:rPr>
        <w:t xml:space="preserve"> Ai and Norton (2003)</w:t>
      </w:r>
      <w:r>
        <w:rPr>
          <w:rFonts w:ascii="Times New Roman" w:hAnsi="Times New Roman"/>
          <w:color w:val="000000"/>
          <w:sz w:val="22"/>
          <w:szCs w:val="22"/>
          <w:lang w:val="en-US"/>
        </w:rPr>
        <w:t xml:space="preserve">. Thus </w:t>
      </w:r>
      <w:r w:rsidRPr="00AF1820">
        <w:rPr>
          <w:rFonts w:ascii="Times New Roman" w:hAnsi="Times New Roman"/>
          <w:color w:val="000000"/>
          <w:sz w:val="22"/>
          <w:szCs w:val="22"/>
          <w:lang w:val="en-US"/>
        </w:rPr>
        <w:t xml:space="preserve">computed as the cross derivative of the expected </w:t>
      </w:r>
      <w:r>
        <w:rPr>
          <w:rFonts w:ascii="Times New Roman" w:hAnsi="Times New Roman"/>
          <w:color w:val="000000"/>
          <w:sz w:val="22"/>
          <w:szCs w:val="22"/>
          <w:lang w:val="en-US"/>
        </w:rPr>
        <w:t>value of the dependent variable</w:t>
      </w:r>
      <w:r w:rsidRPr="00AF1820">
        <w:rPr>
          <w:rFonts w:ascii="Times New Roman" w:hAnsi="Times New Roman"/>
          <w:color w:val="000000"/>
          <w:sz w:val="22"/>
          <w:szCs w:val="22"/>
          <w:lang w:val="en-US"/>
        </w:rPr>
        <w:t xml:space="preserve"> </w:t>
      </w:r>
      <w:r>
        <w:rPr>
          <w:rFonts w:ascii="Times New Roman" w:hAnsi="Times New Roman"/>
          <w:color w:val="000000"/>
          <w:sz w:val="22"/>
          <w:szCs w:val="22"/>
          <w:lang w:val="en-US"/>
        </w:rPr>
        <w:t>(</w:t>
      </w:r>
      <w:r w:rsidRPr="00AF1820">
        <w:rPr>
          <w:rFonts w:ascii="Times New Roman" w:hAnsi="Times New Roman"/>
          <w:color w:val="000000"/>
          <w:sz w:val="22"/>
          <w:szCs w:val="22"/>
          <w:lang w:val="en-US"/>
        </w:rPr>
        <w:t>instead of the derivative of the interaction)</w:t>
      </w:r>
      <w:r>
        <w:rPr>
          <w:rFonts w:ascii="Times New Roman" w:hAnsi="Times New Roman"/>
          <w:color w:val="000000"/>
          <w:sz w:val="22"/>
          <w:szCs w:val="22"/>
          <w:lang w:val="en-US"/>
        </w:rPr>
        <w:t xml:space="preserve">, </w:t>
      </w:r>
      <w:r w:rsidRPr="00A911A4">
        <w:rPr>
          <w:rFonts w:ascii="Times New Roman" w:hAnsi="Times New Roman"/>
          <w:color w:val="000000"/>
          <w:sz w:val="22"/>
          <w:szCs w:val="22"/>
          <w:lang w:val="en-US"/>
        </w:rPr>
        <w:t>the marginal effects are 0.20</w:t>
      </w:r>
      <w:r w:rsidRPr="00A911A4">
        <w:rPr>
          <w:rFonts w:ascii="Times New Roman" w:hAnsi="Times New Roman"/>
          <w:color w:val="000000"/>
          <w:sz w:val="22"/>
          <w:szCs w:val="22"/>
          <w:vertAlign w:val="superscript"/>
          <w:lang w:val="en-US"/>
        </w:rPr>
        <w:t>**</w:t>
      </w:r>
      <w:r w:rsidRPr="00A911A4">
        <w:rPr>
          <w:rFonts w:ascii="Times New Roman" w:hAnsi="Times New Roman"/>
          <w:color w:val="000000"/>
          <w:sz w:val="22"/>
          <w:szCs w:val="22"/>
          <w:lang w:val="en-US"/>
        </w:rPr>
        <w:t xml:space="preserve"> and 0.30</w:t>
      </w:r>
      <w:r w:rsidRPr="00A911A4">
        <w:rPr>
          <w:rFonts w:ascii="Times New Roman" w:hAnsi="Times New Roman"/>
          <w:color w:val="000000"/>
          <w:sz w:val="22"/>
          <w:szCs w:val="22"/>
          <w:vertAlign w:val="superscript"/>
          <w:lang w:val="en-US"/>
        </w:rPr>
        <w:t>**</w:t>
      </w:r>
      <w:r w:rsidRPr="00A911A4">
        <w:rPr>
          <w:rFonts w:ascii="Times New Roman" w:hAnsi="Times New Roman"/>
          <w:color w:val="000000"/>
          <w:sz w:val="22"/>
          <w:szCs w:val="22"/>
          <w:lang w:val="en-US"/>
        </w:rPr>
        <w:t xml:space="preserve"> for columns (8) and (9), respectively. </w:t>
      </w:r>
      <w:r w:rsidRPr="00A911A4">
        <w:rPr>
          <w:rFonts w:ascii="Times New Roman" w:hAnsi="Times New Roman"/>
          <w:sz w:val="22"/>
          <w:szCs w:val="22"/>
          <w:lang w:val="en-US"/>
        </w:rPr>
        <w:t>Caution is nevertheless needed when considering the results of the selection model. Indeed, when we re-estimate the second-stage equation with the two instruments included in the list of regressors, we find that only one of them (</w:t>
      </w:r>
      <w:r w:rsidRPr="00A911A4">
        <w:rPr>
          <w:rFonts w:ascii="Times New Roman" w:hAnsi="Times New Roman"/>
          <w:i/>
          <w:sz w:val="22"/>
          <w:szCs w:val="22"/>
          <w:lang w:val="en-US"/>
        </w:rPr>
        <w:t>aware</w:t>
      </w:r>
      <w:r w:rsidRPr="00A911A4">
        <w:rPr>
          <w:rFonts w:ascii="Times New Roman" w:hAnsi="Times New Roman"/>
          <w:sz w:val="22"/>
          <w:szCs w:val="22"/>
          <w:lang w:val="en-US"/>
        </w:rPr>
        <w:t>) is statistically insignificant. As pointed out before, no other test of the validity of our instruments is available.</w:t>
      </w:r>
    </w:p>
    <w:p w:rsidR="00670148" w:rsidRPr="00880CA8" w:rsidRDefault="00670148" w:rsidP="00D20C45">
      <w:pPr>
        <w:pStyle w:val="Notedebasdepage"/>
        <w:spacing w:line="240" w:lineRule="auto"/>
        <w:jc w:val="both"/>
        <w:rPr>
          <w:b/>
          <w:sz w:val="22"/>
          <w:szCs w:val="22"/>
          <w:lang w:val="en-US"/>
        </w:rPr>
      </w:pPr>
    </w:p>
  </w:footnote>
  <w:footnote w:id="31">
    <w:p w:rsidR="00670148" w:rsidRPr="00CB0A3C" w:rsidRDefault="00670148" w:rsidP="00D20C45">
      <w:pPr>
        <w:pStyle w:val="Notedebasdepage"/>
        <w:spacing w:line="240" w:lineRule="auto"/>
        <w:jc w:val="both"/>
        <w:rPr>
          <w:rFonts w:ascii="Times New Roman" w:hAnsi="Times New Roman"/>
          <w:sz w:val="22"/>
          <w:szCs w:val="22"/>
          <w:lang w:val="en-US"/>
        </w:rPr>
      </w:pPr>
      <w:r w:rsidRPr="00CB0A3C">
        <w:rPr>
          <w:rStyle w:val="Appelnotedebasdep"/>
          <w:rFonts w:ascii="Times New Roman" w:hAnsi="Times New Roman"/>
          <w:sz w:val="22"/>
          <w:szCs w:val="22"/>
        </w:rPr>
        <w:footnoteRef/>
      </w:r>
      <w:r w:rsidRPr="00CB0A3C">
        <w:rPr>
          <w:rFonts w:ascii="Times New Roman" w:hAnsi="Times New Roman"/>
          <w:sz w:val="22"/>
          <w:szCs w:val="22"/>
          <w:lang w:val="en-US"/>
        </w:rPr>
        <w:t xml:space="preserve"> </w:t>
      </w:r>
      <w:r>
        <w:rPr>
          <w:rFonts w:ascii="Times New Roman" w:hAnsi="Times New Roman"/>
          <w:sz w:val="22"/>
          <w:szCs w:val="22"/>
          <w:lang w:val="en-US"/>
        </w:rPr>
        <w:t xml:space="preserve">We have also queried about the occupations of the household heads. We are thus able to differentiate households (i) in which the head receives a wage income, (ii) is involved in a non-agricultural business or receives remittances or transfers, and (iii) whose incomes entirely depend on agriculture. Using (iii) as the reference category, we define two binary variables indicating whether the household belongs to category (i) or to category (ii), respectively. These variables are omitted from the tables displayed because their coefficients are never statistically different from zero. </w:t>
      </w:r>
    </w:p>
  </w:footnote>
  <w:footnote w:id="32">
    <w:p w:rsidR="00670148" w:rsidRPr="00CA33CF" w:rsidRDefault="00670148" w:rsidP="00D20C45">
      <w:pPr>
        <w:pStyle w:val="Notedebasdepage"/>
        <w:spacing w:line="240" w:lineRule="auto"/>
        <w:jc w:val="both"/>
        <w:rPr>
          <w:rFonts w:ascii="Times New Roman" w:hAnsi="Times New Roman"/>
          <w:sz w:val="22"/>
          <w:szCs w:val="22"/>
          <w:lang w:val="en-US"/>
        </w:rPr>
      </w:pPr>
      <w:r w:rsidRPr="0007145A">
        <w:rPr>
          <w:rStyle w:val="Appelnotedebasdep"/>
          <w:rFonts w:ascii="Times New Roman" w:hAnsi="Times New Roman"/>
          <w:sz w:val="22"/>
          <w:szCs w:val="22"/>
        </w:rPr>
        <w:footnoteRef/>
      </w:r>
      <w:r w:rsidRPr="0007145A">
        <w:rPr>
          <w:rFonts w:ascii="Times New Roman" w:hAnsi="Times New Roman"/>
          <w:sz w:val="22"/>
          <w:szCs w:val="22"/>
          <w:lang w:val="en-US"/>
        </w:rPr>
        <w:t xml:space="preserve"> When </w:t>
      </w:r>
      <w:r w:rsidRPr="0007145A">
        <w:rPr>
          <w:rFonts w:ascii="Times New Roman" w:hAnsi="Times New Roman"/>
          <w:i/>
          <w:sz w:val="22"/>
          <w:szCs w:val="22"/>
          <w:lang w:val="en-US"/>
        </w:rPr>
        <w:t xml:space="preserve">trust </w:t>
      </w:r>
      <w:r w:rsidRPr="0007145A">
        <w:rPr>
          <w:rFonts w:ascii="Times New Roman" w:hAnsi="Times New Roman"/>
          <w:sz w:val="22"/>
          <w:szCs w:val="22"/>
          <w:lang w:val="en-US"/>
        </w:rPr>
        <w:t xml:space="preserve">is interacted with </w:t>
      </w:r>
      <w:r w:rsidRPr="0007145A">
        <w:rPr>
          <w:rFonts w:ascii="Times New Roman" w:hAnsi="Times New Roman"/>
          <w:i/>
          <w:sz w:val="22"/>
          <w:szCs w:val="22"/>
          <w:lang w:val="en-US"/>
        </w:rPr>
        <w:t>UND_2</w:t>
      </w:r>
      <w:r>
        <w:rPr>
          <w:rFonts w:ascii="Times New Roman" w:hAnsi="Times New Roman"/>
          <w:sz w:val="22"/>
          <w:szCs w:val="22"/>
          <w:lang w:val="en-US"/>
        </w:rPr>
        <w:t xml:space="preserve">, the associated coefficient is not significantly different from zero. This is also true when </w:t>
      </w:r>
      <w:r>
        <w:rPr>
          <w:rFonts w:ascii="Times New Roman" w:hAnsi="Times New Roman"/>
          <w:i/>
          <w:sz w:val="22"/>
          <w:szCs w:val="22"/>
          <w:lang w:val="en-US"/>
        </w:rPr>
        <w:t xml:space="preserve">SHG </w:t>
      </w:r>
      <w:r>
        <w:rPr>
          <w:rFonts w:ascii="Times New Roman" w:hAnsi="Times New Roman"/>
          <w:sz w:val="22"/>
          <w:szCs w:val="22"/>
          <w:lang w:val="en-US"/>
        </w:rPr>
        <w:t xml:space="preserve">is interacted with </w:t>
      </w:r>
      <w:r w:rsidRPr="0007145A">
        <w:rPr>
          <w:rFonts w:ascii="Times New Roman" w:hAnsi="Times New Roman"/>
          <w:i/>
          <w:sz w:val="22"/>
          <w:szCs w:val="22"/>
          <w:lang w:val="en-US"/>
        </w:rPr>
        <w:t>UND_2</w:t>
      </w:r>
      <w:r>
        <w:rPr>
          <w:rFonts w:ascii="Times New Roman" w:hAnsi="Times New Roman"/>
          <w:i/>
          <w:sz w:val="22"/>
          <w:szCs w:val="22"/>
          <w:lang w:val="en-US"/>
        </w:rPr>
        <w:t xml:space="preserve"> </w:t>
      </w:r>
      <w:r>
        <w:rPr>
          <w:rFonts w:ascii="Times New Roman" w:hAnsi="Times New Roman"/>
          <w:sz w:val="22"/>
          <w:szCs w:val="22"/>
          <w:lang w:val="en-US"/>
        </w:rPr>
        <w:t xml:space="preserve">on the ground that membership in a self-help group might be a proxy for trust (results not shown). </w:t>
      </w:r>
    </w:p>
  </w:footnote>
  <w:footnote w:id="33">
    <w:p w:rsidR="00670148" w:rsidRPr="00977F54" w:rsidRDefault="00670148" w:rsidP="00D20C45">
      <w:pPr>
        <w:spacing w:after="240" w:line="240" w:lineRule="auto"/>
        <w:jc w:val="both"/>
        <w:rPr>
          <w:rFonts w:ascii="Times New Roman" w:hAnsi="Times New Roman"/>
          <w:lang w:val="en-US"/>
        </w:rPr>
      </w:pPr>
      <w:r w:rsidRPr="00977F54">
        <w:rPr>
          <w:rStyle w:val="Appelnotedebasdep"/>
          <w:rFonts w:ascii="Times New Roman" w:hAnsi="Times New Roman"/>
        </w:rPr>
        <w:footnoteRef/>
      </w:r>
      <w:r>
        <w:rPr>
          <w:rFonts w:ascii="Times New Roman" w:hAnsi="Times New Roman"/>
          <w:lang w:val="en-US"/>
        </w:rPr>
        <w:t xml:space="preserve"> </w:t>
      </w:r>
      <w:r w:rsidRPr="00977F54">
        <w:rPr>
          <w:rFonts w:ascii="Times New Roman" w:hAnsi="Times New Roman"/>
          <w:lang w:val="en-US"/>
        </w:rPr>
        <w:t>When we interact the education measures</w:t>
      </w:r>
      <w:r>
        <w:rPr>
          <w:rFonts w:ascii="Times New Roman" w:hAnsi="Times New Roman"/>
          <w:lang w:val="en-US"/>
        </w:rPr>
        <w:t xml:space="preserve">, either literacy or formal schooling, with the </w:t>
      </w:r>
      <w:r w:rsidRPr="00977F54">
        <w:rPr>
          <w:rFonts w:ascii="Times New Roman" w:hAnsi="Times New Roman"/>
          <w:lang w:val="en-US"/>
        </w:rPr>
        <w:t>understanding variable, the effect is never statistically significant.</w:t>
      </w:r>
    </w:p>
  </w:footnote>
  <w:footnote w:id="34">
    <w:p w:rsidR="00670148" w:rsidRPr="00A844DF" w:rsidRDefault="00670148" w:rsidP="00D20C45">
      <w:pPr>
        <w:pStyle w:val="Notedebasdepage"/>
        <w:spacing w:line="240" w:lineRule="auto"/>
        <w:jc w:val="both"/>
        <w:rPr>
          <w:rFonts w:ascii="Times New Roman" w:hAnsi="Times New Roman"/>
          <w:sz w:val="22"/>
          <w:szCs w:val="22"/>
          <w:lang w:val="en-US"/>
        </w:rPr>
      </w:pPr>
      <w:r w:rsidRPr="00A844DF">
        <w:rPr>
          <w:rStyle w:val="Appelnotedebasdep"/>
          <w:rFonts w:ascii="Times New Roman" w:hAnsi="Times New Roman"/>
          <w:sz w:val="22"/>
          <w:szCs w:val="22"/>
        </w:rPr>
        <w:footnoteRef/>
      </w:r>
      <w:r w:rsidRPr="00A844DF">
        <w:rPr>
          <w:rFonts w:ascii="Times New Roman" w:hAnsi="Times New Roman"/>
          <w:sz w:val="22"/>
          <w:szCs w:val="22"/>
          <w:lang w:val="en-US"/>
        </w:rPr>
        <w:t xml:space="preserve"> It must be borne in mind that our question was framed as follows: “can you read and write properly?”, so that explicit room was left for a subjective appreciation of the skills involved.</w:t>
      </w:r>
    </w:p>
  </w:footnote>
  <w:footnote w:id="35">
    <w:p w:rsidR="001F6AC6" w:rsidRPr="001F6AC6" w:rsidRDefault="001F6AC6" w:rsidP="001F6AC6">
      <w:pPr>
        <w:spacing w:after="240" w:line="240" w:lineRule="auto"/>
        <w:jc w:val="both"/>
        <w:rPr>
          <w:rFonts w:ascii="Times New Roman" w:hAnsi="Times New Roman"/>
          <w:lang w:val="en-US"/>
        </w:rPr>
      </w:pPr>
      <w:r w:rsidRPr="001F6AC6">
        <w:rPr>
          <w:rStyle w:val="Appelnotedebasdep"/>
          <w:rFonts w:ascii="Times New Roman" w:hAnsi="Times New Roman"/>
        </w:rPr>
        <w:footnoteRef/>
      </w:r>
      <w:r w:rsidRPr="001F6AC6">
        <w:rPr>
          <w:rFonts w:ascii="Times New Roman" w:hAnsi="Times New Roman"/>
          <w:lang w:val="en-US"/>
        </w:rPr>
        <w:t xml:space="preserve"> Compared to Table 5, the payout and peer effect variables, as well as the corresponding interaction terms, are no more statistically significant. Also insignificant are the effects of household wealth and preventive knowledge. As for the influence of health events (see </w:t>
      </w:r>
      <w:r w:rsidRPr="001F6AC6">
        <w:rPr>
          <w:rFonts w:ascii="Times New Roman" w:hAnsi="Times New Roman"/>
          <w:i/>
          <w:lang w:val="en-US"/>
        </w:rPr>
        <w:t>sick_member_present</w:t>
      </w:r>
      <w:r w:rsidRPr="001F6AC6">
        <w:rPr>
          <w:rFonts w:ascii="Times New Roman" w:hAnsi="Times New Roman"/>
          <w:lang w:val="en-US"/>
        </w:rPr>
        <w:t xml:space="preserve">), it cannot be established in a robust manner, yet the sign of the coefficient is consistently negative throughout all regression estimates. Finally, if we add the dummy </w:t>
      </w:r>
      <w:r w:rsidRPr="001F6AC6">
        <w:rPr>
          <w:rFonts w:ascii="Times New Roman" w:hAnsi="Times New Roman"/>
          <w:i/>
          <w:lang w:val="en-US"/>
        </w:rPr>
        <w:t xml:space="preserve">use </w:t>
      </w:r>
      <w:r w:rsidRPr="001F6AC6">
        <w:rPr>
          <w:rFonts w:ascii="Times New Roman" w:hAnsi="Times New Roman"/>
          <w:lang w:val="en-US"/>
        </w:rPr>
        <w:t>(whether the insurance was actually used or not) to the list of explanatory variables, its coefficient is positive and highly significant but the coefficient of the information variable then ceases to be significant (as expected, the two variables are strongly correlated). Other results essentially stand. In particular, the understanding variable remains strongly significant. Moreover, the variable indicating whether a household member was sick or not becomes more strongly significant than before (at the 99% confidence level), and the sign of its coefficient remains negative (results not shown).</w:t>
      </w:r>
    </w:p>
    <w:p w:rsidR="001F6AC6" w:rsidRPr="001F6AC6" w:rsidRDefault="001F6AC6">
      <w:pPr>
        <w:pStyle w:val="Notedebasdepage"/>
        <w:rPr>
          <w:lang w:val="en-US"/>
        </w:rPr>
      </w:pPr>
    </w:p>
  </w:footnote>
  <w:footnote w:id="36">
    <w:p w:rsidR="00CB7F7D" w:rsidRPr="00CB7F7D" w:rsidRDefault="00CB7F7D" w:rsidP="00CB7F7D">
      <w:pPr>
        <w:pStyle w:val="Notedebasdepage"/>
        <w:jc w:val="both"/>
        <w:rPr>
          <w:rFonts w:ascii="Times New Roman" w:hAnsi="Times New Roman"/>
          <w:sz w:val="22"/>
          <w:szCs w:val="22"/>
          <w:lang w:val="en-US"/>
        </w:rPr>
      </w:pPr>
      <w:r w:rsidRPr="00CB7F7D">
        <w:rPr>
          <w:rStyle w:val="Appelnotedebasdep"/>
          <w:rFonts w:ascii="Times New Roman" w:hAnsi="Times New Roman"/>
          <w:sz w:val="22"/>
          <w:szCs w:val="22"/>
        </w:rPr>
        <w:footnoteRef/>
      </w:r>
      <w:r w:rsidRPr="00CB7F7D">
        <w:rPr>
          <w:rFonts w:ascii="Times New Roman" w:hAnsi="Times New Roman"/>
          <w:sz w:val="22"/>
          <w:szCs w:val="22"/>
          <w:lang w:val="en-US"/>
        </w:rPr>
        <w:t xml:space="preserve"> Carter et al. (2010) reached more encouraging conclusions from dynamic field experiments in Morocco, Kenya</w:t>
      </w:r>
      <w:r>
        <w:rPr>
          <w:rFonts w:ascii="Times New Roman" w:hAnsi="Times New Roman"/>
          <w:sz w:val="22"/>
          <w:szCs w:val="22"/>
          <w:lang w:val="en-US"/>
        </w:rPr>
        <w:t>,</w:t>
      </w:r>
      <w:r w:rsidRPr="00CB7F7D">
        <w:rPr>
          <w:rFonts w:ascii="Times New Roman" w:hAnsi="Times New Roman"/>
          <w:sz w:val="22"/>
          <w:szCs w:val="22"/>
          <w:lang w:val="en-US"/>
        </w:rPr>
        <w:t xml:space="preserve"> and Peru, yet</w:t>
      </w:r>
      <w:r>
        <w:rPr>
          <w:rFonts w:ascii="Times New Roman" w:hAnsi="Times New Roman"/>
          <w:sz w:val="22"/>
          <w:szCs w:val="22"/>
          <w:lang w:val="en-US"/>
        </w:rPr>
        <w:t xml:space="preserve"> their so-called comprehension index only partly includes aspects related to insurance.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D33"/>
    <w:multiLevelType w:val="multilevel"/>
    <w:tmpl w:val="09D227D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B72F7D"/>
    <w:multiLevelType w:val="hybridMultilevel"/>
    <w:tmpl w:val="F13A06F2"/>
    <w:lvl w:ilvl="0" w:tplc="C8A2967E">
      <w:start w:val="1"/>
      <w:numFmt w:val="bullet"/>
      <w:lvlText w:val="•"/>
      <w:lvlJc w:val="left"/>
      <w:pPr>
        <w:tabs>
          <w:tab w:val="num" w:pos="720"/>
        </w:tabs>
        <w:ind w:left="720" w:hanging="360"/>
      </w:pPr>
      <w:rPr>
        <w:rFonts w:ascii="Arial" w:hAnsi="Arial" w:hint="default"/>
      </w:rPr>
    </w:lvl>
    <w:lvl w:ilvl="1" w:tplc="E4C04890">
      <w:start w:val="797"/>
      <w:numFmt w:val="bullet"/>
      <w:lvlText w:val="–"/>
      <w:lvlJc w:val="left"/>
      <w:pPr>
        <w:tabs>
          <w:tab w:val="num" w:pos="1440"/>
        </w:tabs>
        <w:ind w:left="1440" w:hanging="360"/>
      </w:pPr>
      <w:rPr>
        <w:rFonts w:ascii="Arial" w:hAnsi="Arial" w:hint="default"/>
      </w:rPr>
    </w:lvl>
    <w:lvl w:ilvl="2" w:tplc="3F064528" w:tentative="1">
      <w:start w:val="1"/>
      <w:numFmt w:val="bullet"/>
      <w:lvlText w:val="•"/>
      <w:lvlJc w:val="left"/>
      <w:pPr>
        <w:tabs>
          <w:tab w:val="num" w:pos="2160"/>
        </w:tabs>
        <w:ind w:left="2160" w:hanging="360"/>
      </w:pPr>
      <w:rPr>
        <w:rFonts w:ascii="Arial" w:hAnsi="Arial" w:hint="default"/>
      </w:rPr>
    </w:lvl>
    <w:lvl w:ilvl="3" w:tplc="66B0D922" w:tentative="1">
      <w:start w:val="1"/>
      <w:numFmt w:val="bullet"/>
      <w:lvlText w:val="•"/>
      <w:lvlJc w:val="left"/>
      <w:pPr>
        <w:tabs>
          <w:tab w:val="num" w:pos="2880"/>
        </w:tabs>
        <w:ind w:left="2880" w:hanging="360"/>
      </w:pPr>
      <w:rPr>
        <w:rFonts w:ascii="Arial" w:hAnsi="Arial" w:hint="default"/>
      </w:rPr>
    </w:lvl>
    <w:lvl w:ilvl="4" w:tplc="6ECE522C" w:tentative="1">
      <w:start w:val="1"/>
      <w:numFmt w:val="bullet"/>
      <w:lvlText w:val="•"/>
      <w:lvlJc w:val="left"/>
      <w:pPr>
        <w:tabs>
          <w:tab w:val="num" w:pos="3600"/>
        </w:tabs>
        <w:ind w:left="3600" w:hanging="360"/>
      </w:pPr>
      <w:rPr>
        <w:rFonts w:ascii="Arial" w:hAnsi="Arial" w:hint="default"/>
      </w:rPr>
    </w:lvl>
    <w:lvl w:ilvl="5" w:tplc="D45EA70C" w:tentative="1">
      <w:start w:val="1"/>
      <w:numFmt w:val="bullet"/>
      <w:lvlText w:val="•"/>
      <w:lvlJc w:val="left"/>
      <w:pPr>
        <w:tabs>
          <w:tab w:val="num" w:pos="4320"/>
        </w:tabs>
        <w:ind w:left="4320" w:hanging="360"/>
      </w:pPr>
      <w:rPr>
        <w:rFonts w:ascii="Arial" w:hAnsi="Arial" w:hint="default"/>
      </w:rPr>
    </w:lvl>
    <w:lvl w:ilvl="6" w:tplc="FA96E7D8" w:tentative="1">
      <w:start w:val="1"/>
      <w:numFmt w:val="bullet"/>
      <w:lvlText w:val="•"/>
      <w:lvlJc w:val="left"/>
      <w:pPr>
        <w:tabs>
          <w:tab w:val="num" w:pos="5040"/>
        </w:tabs>
        <w:ind w:left="5040" w:hanging="360"/>
      </w:pPr>
      <w:rPr>
        <w:rFonts w:ascii="Arial" w:hAnsi="Arial" w:hint="default"/>
      </w:rPr>
    </w:lvl>
    <w:lvl w:ilvl="7" w:tplc="DA6C1774" w:tentative="1">
      <w:start w:val="1"/>
      <w:numFmt w:val="bullet"/>
      <w:lvlText w:val="•"/>
      <w:lvlJc w:val="left"/>
      <w:pPr>
        <w:tabs>
          <w:tab w:val="num" w:pos="5760"/>
        </w:tabs>
        <w:ind w:left="5760" w:hanging="360"/>
      </w:pPr>
      <w:rPr>
        <w:rFonts w:ascii="Arial" w:hAnsi="Arial" w:hint="default"/>
      </w:rPr>
    </w:lvl>
    <w:lvl w:ilvl="8" w:tplc="23B09416" w:tentative="1">
      <w:start w:val="1"/>
      <w:numFmt w:val="bullet"/>
      <w:lvlText w:val="•"/>
      <w:lvlJc w:val="left"/>
      <w:pPr>
        <w:tabs>
          <w:tab w:val="num" w:pos="6480"/>
        </w:tabs>
        <w:ind w:left="6480" w:hanging="360"/>
      </w:pPr>
      <w:rPr>
        <w:rFonts w:ascii="Arial" w:hAnsi="Arial" w:hint="default"/>
      </w:rPr>
    </w:lvl>
  </w:abstractNum>
  <w:abstractNum w:abstractNumId="2">
    <w:nsid w:val="0EE22E60"/>
    <w:multiLevelType w:val="multilevel"/>
    <w:tmpl w:val="ACBE85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4919B3"/>
    <w:multiLevelType w:val="hybridMultilevel"/>
    <w:tmpl w:val="C93A67C8"/>
    <w:lvl w:ilvl="0" w:tplc="509A96B2">
      <w:start w:val="2"/>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4">
    <w:nsid w:val="13D16B6E"/>
    <w:multiLevelType w:val="hybridMultilevel"/>
    <w:tmpl w:val="C220E0A0"/>
    <w:lvl w:ilvl="0" w:tplc="F0DA85AC">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5">
    <w:nsid w:val="292D5B8A"/>
    <w:multiLevelType w:val="hybridMultilevel"/>
    <w:tmpl w:val="CA860AAA"/>
    <w:lvl w:ilvl="0" w:tplc="E912FD36">
      <w:start w:val="1"/>
      <w:numFmt w:val="decimal"/>
      <w:lvlText w:val="%1."/>
      <w:lvlJc w:val="left"/>
      <w:pPr>
        <w:ind w:left="786" w:hanging="360"/>
      </w:pPr>
      <w:rPr>
        <w:rFonts w:hint="default"/>
        <w:b w:val="0"/>
        <w:sz w:val="24"/>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6">
    <w:nsid w:val="2A7D26FA"/>
    <w:multiLevelType w:val="hybridMultilevel"/>
    <w:tmpl w:val="D982E508"/>
    <w:lvl w:ilvl="0" w:tplc="222A1794">
      <w:start w:val="1"/>
      <w:numFmt w:val="bullet"/>
      <w:lvlText w:val="•"/>
      <w:lvlJc w:val="left"/>
      <w:pPr>
        <w:tabs>
          <w:tab w:val="num" w:pos="720"/>
        </w:tabs>
        <w:ind w:left="720" w:hanging="360"/>
      </w:pPr>
      <w:rPr>
        <w:rFonts w:ascii="Arial" w:hAnsi="Arial" w:hint="default"/>
      </w:rPr>
    </w:lvl>
    <w:lvl w:ilvl="1" w:tplc="0100D864">
      <w:start w:val="830"/>
      <w:numFmt w:val="bullet"/>
      <w:lvlText w:val="–"/>
      <w:lvlJc w:val="left"/>
      <w:pPr>
        <w:tabs>
          <w:tab w:val="num" w:pos="1440"/>
        </w:tabs>
        <w:ind w:left="1440" w:hanging="360"/>
      </w:pPr>
      <w:rPr>
        <w:rFonts w:ascii="Arial" w:hAnsi="Arial" w:hint="default"/>
      </w:rPr>
    </w:lvl>
    <w:lvl w:ilvl="2" w:tplc="EDD6E6A0">
      <w:start w:val="1"/>
      <w:numFmt w:val="bullet"/>
      <w:lvlText w:val="•"/>
      <w:lvlJc w:val="left"/>
      <w:pPr>
        <w:tabs>
          <w:tab w:val="num" w:pos="2160"/>
        </w:tabs>
        <w:ind w:left="2160" w:hanging="360"/>
      </w:pPr>
      <w:rPr>
        <w:rFonts w:ascii="Arial" w:hAnsi="Arial" w:hint="default"/>
      </w:rPr>
    </w:lvl>
    <w:lvl w:ilvl="3" w:tplc="4EE6237C" w:tentative="1">
      <w:start w:val="1"/>
      <w:numFmt w:val="bullet"/>
      <w:lvlText w:val="•"/>
      <w:lvlJc w:val="left"/>
      <w:pPr>
        <w:tabs>
          <w:tab w:val="num" w:pos="2880"/>
        </w:tabs>
        <w:ind w:left="2880" w:hanging="360"/>
      </w:pPr>
      <w:rPr>
        <w:rFonts w:ascii="Arial" w:hAnsi="Arial" w:hint="default"/>
      </w:rPr>
    </w:lvl>
    <w:lvl w:ilvl="4" w:tplc="A20C37C6" w:tentative="1">
      <w:start w:val="1"/>
      <w:numFmt w:val="bullet"/>
      <w:lvlText w:val="•"/>
      <w:lvlJc w:val="left"/>
      <w:pPr>
        <w:tabs>
          <w:tab w:val="num" w:pos="3600"/>
        </w:tabs>
        <w:ind w:left="3600" w:hanging="360"/>
      </w:pPr>
      <w:rPr>
        <w:rFonts w:ascii="Arial" w:hAnsi="Arial" w:hint="default"/>
      </w:rPr>
    </w:lvl>
    <w:lvl w:ilvl="5" w:tplc="258485FE" w:tentative="1">
      <w:start w:val="1"/>
      <w:numFmt w:val="bullet"/>
      <w:lvlText w:val="•"/>
      <w:lvlJc w:val="left"/>
      <w:pPr>
        <w:tabs>
          <w:tab w:val="num" w:pos="4320"/>
        </w:tabs>
        <w:ind w:left="4320" w:hanging="360"/>
      </w:pPr>
      <w:rPr>
        <w:rFonts w:ascii="Arial" w:hAnsi="Arial" w:hint="default"/>
      </w:rPr>
    </w:lvl>
    <w:lvl w:ilvl="6" w:tplc="CC185692" w:tentative="1">
      <w:start w:val="1"/>
      <w:numFmt w:val="bullet"/>
      <w:lvlText w:val="•"/>
      <w:lvlJc w:val="left"/>
      <w:pPr>
        <w:tabs>
          <w:tab w:val="num" w:pos="5040"/>
        </w:tabs>
        <w:ind w:left="5040" w:hanging="360"/>
      </w:pPr>
      <w:rPr>
        <w:rFonts w:ascii="Arial" w:hAnsi="Arial" w:hint="default"/>
      </w:rPr>
    </w:lvl>
    <w:lvl w:ilvl="7" w:tplc="B8AC56BA" w:tentative="1">
      <w:start w:val="1"/>
      <w:numFmt w:val="bullet"/>
      <w:lvlText w:val="•"/>
      <w:lvlJc w:val="left"/>
      <w:pPr>
        <w:tabs>
          <w:tab w:val="num" w:pos="5760"/>
        </w:tabs>
        <w:ind w:left="5760" w:hanging="360"/>
      </w:pPr>
      <w:rPr>
        <w:rFonts w:ascii="Arial" w:hAnsi="Arial" w:hint="default"/>
      </w:rPr>
    </w:lvl>
    <w:lvl w:ilvl="8" w:tplc="70D0777C" w:tentative="1">
      <w:start w:val="1"/>
      <w:numFmt w:val="bullet"/>
      <w:lvlText w:val="•"/>
      <w:lvlJc w:val="left"/>
      <w:pPr>
        <w:tabs>
          <w:tab w:val="num" w:pos="6480"/>
        </w:tabs>
        <w:ind w:left="6480" w:hanging="360"/>
      </w:pPr>
      <w:rPr>
        <w:rFonts w:ascii="Arial" w:hAnsi="Arial" w:hint="default"/>
      </w:rPr>
    </w:lvl>
  </w:abstractNum>
  <w:abstractNum w:abstractNumId="7">
    <w:nsid w:val="2C6F67AF"/>
    <w:multiLevelType w:val="hybridMultilevel"/>
    <w:tmpl w:val="7752257C"/>
    <w:lvl w:ilvl="0" w:tplc="B75CCC4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0A84F75"/>
    <w:multiLevelType w:val="hybridMultilevel"/>
    <w:tmpl w:val="876A67CE"/>
    <w:lvl w:ilvl="0" w:tplc="A328A8EA">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3E684D3F"/>
    <w:multiLevelType w:val="multilevel"/>
    <w:tmpl w:val="678E34F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3DC2100"/>
    <w:multiLevelType w:val="multilevel"/>
    <w:tmpl w:val="7FCE95D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7C1740C"/>
    <w:multiLevelType w:val="multilevel"/>
    <w:tmpl w:val="7C52F8E8"/>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EAE3112"/>
    <w:multiLevelType w:val="hybridMultilevel"/>
    <w:tmpl w:val="FD6CD4E8"/>
    <w:lvl w:ilvl="0" w:tplc="7AF0C59A">
      <w:start w:val="1"/>
      <w:numFmt w:val="bullet"/>
      <w:lvlText w:val="•"/>
      <w:lvlJc w:val="left"/>
      <w:pPr>
        <w:tabs>
          <w:tab w:val="num" w:pos="720"/>
        </w:tabs>
        <w:ind w:left="720" w:hanging="360"/>
      </w:pPr>
      <w:rPr>
        <w:rFonts w:ascii="Arial" w:hAnsi="Arial" w:hint="default"/>
      </w:rPr>
    </w:lvl>
    <w:lvl w:ilvl="1" w:tplc="26D2CEE2" w:tentative="1">
      <w:start w:val="1"/>
      <w:numFmt w:val="bullet"/>
      <w:lvlText w:val="•"/>
      <w:lvlJc w:val="left"/>
      <w:pPr>
        <w:tabs>
          <w:tab w:val="num" w:pos="1440"/>
        </w:tabs>
        <w:ind w:left="1440" w:hanging="360"/>
      </w:pPr>
      <w:rPr>
        <w:rFonts w:ascii="Arial" w:hAnsi="Arial" w:hint="default"/>
      </w:rPr>
    </w:lvl>
    <w:lvl w:ilvl="2" w:tplc="634CDBD4" w:tentative="1">
      <w:start w:val="1"/>
      <w:numFmt w:val="bullet"/>
      <w:lvlText w:val="•"/>
      <w:lvlJc w:val="left"/>
      <w:pPr>
        <w:tabs>
          <w:tab w:val="num" w:pos="2160"/>
        </w:tabs>
        <w:ind w:left="2160" w:hanging="360"/>
      </w:pPr>
      <w:rPr>
        <w:rFonts w:ascii="Arial" w:hAnsi="Arial" w:hint="default"/>
      </w:rPr>
    </w:lvl>
    <w:lvl w:ilvl="3" w:tplc="D67E2854" w:tentative="1">
      <w:start w:val="1"/>
      <w:numFmt w:val="bullet"/>
      <w:lvlText w:val="•"/>
      <w:lvlJc w:val="left"/>
      <w:pPr>
        <w:tabs>
          <w:tab w:val="num" w:pos="2880"/>
        </w:tabs>
        <w:ind w:left="2880" w:hanging="360"/>
      </w:pPr>
      <w:rPr>
        <w:rFonts w:ascii="Arial" w:hAnsi="Arial" w:hint="default"/>
      </w:rPr>
    </w:lvl>
    <w:lvl w:ilvl="4" w:tplc="6248B908" w:tentative="1">
      <w:start w:val="1"/>
      <w:numFmt w:val="bullet"/>
      <w:lvlText w:val="•"/>
      <w:lvlJc w:val="left"/>
      <w:pPr>
        <w:tabs>
          <w:tab w:val="num" w:pos="3600"/>
        </w:tabs>
        <w:ind w:left="3600" w:hanging="360"/>
      </w:pPr>
      <w:rPr>
        <w:rFonts w:ascii="Arial" w:hAnsi="Arial" w:hint="default"/>
      </w:rPr>
    </w:lvl>
    <w:lvl w:ilvl="5" w:tplc="E368C7AE" w:tentative="1">
      <w:start w:val="1"/>
      <w:numFmt w:val="bullet"/>
      <w:lvlText w:val="•"/>
      <w:lvlJc w:val="left"/>
      <w:pPr>
        <w:tabs>
          <w:tab w:val="num" w:pos="4320"/>
        </w:tabs>
        <w:ind w:left="4320" w:hanging="360"/>
      </w:pPr>
      <w:rPr>
        <w:rFonts w:ascii="Arial" w:hAnsi="Arial" w:hint="default"/>
      </w:rPr>
    </w:lvl>
    <w:lvl w:ilvl="6" w:tplc="E9643F76" w:tentative="1">
      <w:start w:val="1"/>
      <w:numFmt w:val="bullet"/>
      <w:lvlText w:val="•"/>
      <w:lvlJc w:val="left"/>
      <w:pPr>
        <w:tabs>
          <w:tab w:val="num" w:pos="5040"/>
        </w:tabs>
        <w:ind w:left="5040" w:hanging="360"/>
      </w:pPr>
      <w:rPr>
        <w:rFonts w:ascii="Arial" w:hAnsi="Arial" w:hint="default"/>
      </w:rPr>
    </w:lvl>
    <w:lvl w:ilvl="7" w:tplc="22C42FEA" w:tentative="1">
      <w:start w:val="1"/>
      <w:numFmt w:val="bullet"/>
      <w:lvlText w:val="•"/>
      <w:lvlJc w:val="left"/>
      <w:pPr>
        <w:tabs>
          <w:tab w:val="num" w:pos="5760"/>
        </w:tabs>
        <w:ind w:left="5760" w:hanging="360"/>
      </w:pPr>
      <w:rPr>
        <w:rFonts w:ascii="Arial" w:hAnsi="Arial" w:hint="default"/>
      </w:rPr>
    </w:lvl>
    <w:lvl w:ilvl="8" w:tplc="B1B4B8CA" w:tentative="1">
      <w:start w:val="1"/>
      <w:numFmt w:val="bullet"/>
      <w:lvlText w:val="•"/>
      <w:lvlJc w:val="left"/>
      <w:pPr>
        <w:tabs>
          <w:tab w:val="num" w:pos="6480"/>
        </w:tabs>
        <w:ind w:left="6480" w:hanging="360"/>
      </w:pPr>
      <w:rPr>
        <w:rFonts w:ascii="Arial" w:hAnsi="Arial" w:hint="default"/>
      </w:rPr>
    </w:lvl>
  </w:abstractNum>
  <w:abstractNum w:abstractNumId="13">
    <w:nsid w:val="5D2229CE"/>
    <w:multiLevelType w:val="hybridMultilevel"/>
    <w:tmpl w:val="AFDADAFA"/>
    <w:lvl w:ilvl="0" w:tplc="080C000F">
      <w:start w:val="2"/>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FD258FE"/>
    <w:multiLevelType w:val="hybridMultilevel"/>
    <w:tmpl w:val="34D8CAF0"/>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6813799A"/>
    <w:multiLevelType w:val="hybridMultilevel"/>
    <w:tmpl w:val="9B14C2CE"/>
    <w:lvl w:ilvl="0" w:tplc="0BC0437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A132B34"/>
    <w:multiLevelType w:val="hybridMultilevel"/>
    <w:tmpl w:val="CCA2E21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365A93"/>
    <w:multiLevelType w:val="multilevel"/>
    <w:tmpl w:val="F938891C"/>
    <w:lvl w:ilvl="0">
      <w:start w:val="4"/>
      <w:numFmt w:val="decimal"/>
      <w:lvlText w:val="%1."/>
      <w:lvlJc w:val="left"/>
      <w:pPr>
        <w:ind w:left="720" w:hanging="360"/>
      </w:pPr>
    </w:lvl>
    <w:lvl w:ilvl="1">
      <w:start w:val="1"/>
      <w:numFmt w:val="decimal"/>
      <w:isLgl/>
      <w:lvlText w:val="%1.%2"/>
      <w:lvlJc w:val="left"/>
      <w:pPr>
        <w:ind w:left="1416" w:hanging="990"/>
      </w:pPr>
    </w:lvl>
    <w:lvl w:ilvl="2">
      <w:start w:val="1"/>
      <w:numFmt w:val="decimal"/>
      <w:isLgl/>
      <w:lvlText w:val="%1.%2.%3"/>
      <w:lvlJc w:val="left"/>
      <w:pPr>
        <w:ind w:left="1482" w:hanging="990"/>
      </w:pPr>
    </w:lvl>
    <w:lvl w:ilvl="3">
      <w:start w:val="1"/>
      <w:numFmt w:val="decimal"/>
      <w:isLgl/>
      <w:lvlText w:val="%1.%2.%3.%4"/>
      <w:lvlJc w:val="left"/>
      <w:pPr>
        <w:ind w:left="1548" w:hanging="99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8">
    <w:nsid w:val="706D5105"/>
    <w:multiLevelType w:val="multilevel"/>
    <w:tmpl w:val="F938891C"/>
    <w:lvl w:ilvl="0">
      <w:start w:val="4"/>
      <w:numFmt w:val="decimal"/>
      <w:lvlText w:val="%1."/>
      <w:lvlJc w:val="left"/>
      <w:pPr>
        <w:ind w:left="720" w:hanging="360"/>
      </w:pPr>
    </w:lvl>
    <w:lvl w:ilvl="1">
      <w:start w:val="1"/>
      <w:numFmt w:val="decimal"/>
      <w:isLgl/>
      <w:lvlText w:val="%1.%2"/>
      <w:lvlJc w:val="left"/>
      <w:pPr>
        <w:ind w:left="1416" w:hanging="990"/>
      </w:pPr>
    </w:lvl>
    <w:lvl w:ilvl="2">
      <w:start w:val="1"/>
      <w:numFmt w:val="decimal"/>
      <w:isLgl/>
      <w:lvlText w:val="%1.%2.%3"/>
      <w:lvlJc w:val="left"/>
      <w:pPr>
        <w:ind w:left="1482" w:hanging="990"/>
      </w:pPr>
    </w:lvl>
    <w:lvl w:ilvl="3">
      <w:start w:val="1"/>
      <w:numFmt w:val="decimal"/>
      <w:isLgl/>
      <w:lvlText w:val="%1.%2.%3.%4"/>
      <w:lvlJc w:val="left"/>
      <w:pPr>
        <w:ind w:left="1548" w:hanging="99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9">
    <w:nsid w:val="7C907C72"/>
    <w:multiLevelType w:val="multilevel"/>
    <w:tmpl w:val="C9680E9E"/>
    <w:lvl w:ilvl="0">
      <w:start w:val="1"/>
      <w:numFmt w:val="decimal"/>
      <w:lvlText w:val="%1."/>
      <w:lvlJc w:val="left"/>
      <w:pPr>
        <w:ind w:left="720" w:hanging="360"/>
      </w:pPr>
      <w:rPr>
        <w:rFonts w:hint="default"/>
      </w:rPr>
    </w:lvl>
    <w:lvl w:ilvl="1">
      <w:start w:val="2"/>
      <w:numFmt w:val="decimal"/>
      <w:isLgl/>
      <w:lvlText w:val="%1.%2"/>
      <w:lvlJc w:val="left"/>
      <w:pPr>
        <w:ind w:left="1410" w:hanging="984"/>
      </w:pPr>
      <w:rPr>
        <w:rFonts w:hint="default"/>
      </w:rPr>
    </w:lvl>
    <w:lvl w:ilvl="2">
      <w:start w:val="1"/>
      <w:numFmt w:val="decimal"/>
      <w:isLgl/>
      <w:lvlText w:val="%1.%2.%3"/>
      <w:lvlJc w:val="left"/>
      <w:pPr>
        <w:ind w:left="1476" w:hanging="984"/>
      </w:pPr>
      <w:rPr>
        <w:rFonts w:hint="default"/>
      </w:rPr>
    </w:lvl>
    <w:lvl w:ilvl="3">
      <w:start w:val="1"/>
      <w:numFmt w:val="decimal"/>
      <w:isLgl/>
      <w:lvlText w:val="%1.%2.%3.%4"/>
      <w:lvlJc w:val="left"/>
      <w:pPr>
        <w:ind w:left="1542" w:hanging="984"/>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7CFB72B6"/>
    <w:multiLevelType w:val="hybridMultilevel"/>
    <w:tmpl w:val="095ECCB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7"/>
  </w:num>
  <w:num w:numId="3">
    <w:abstractNumId w:val="15"/>
  </w:num>
  <w:num w:numId="4">
    <w:abstractNumId w:val="19"/>
  </w:num>
  <w:num w:numId="5">
    <w:abstractNumId w:val="12"/>
  </w:num>
  <w:num w:numId="6">
    <w:abstractNumId w:val="4"/>
  </w:num>
  <w:num w:numId="7">
    <w:abstractNumId w:val="1"/>
  </w:num>
  <w:num w:numId="8">
    <w:abstractNumId w:val="8"/>
  </w:num>
  <w:num w:numId="9">
    <w:abstractNumId w:val="6"/>
  </w:num>
  <w:num w:numId="1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num>
  <w:num w:numId="14">
    <w:abstractNumId w:val="13"/>
  </w:num>
  <w:num w:numId="15">
    <w:abstractNumId w:val="5"/>
  </w:num>
  <w:num w:numId="16">
    <w:abstractNumId w:val="9"/>
  </w:num>
  <w:num w:numId="17">
    <w:abstractNumId w:val="20"/>
  </w:num>
  <w:num w:numId="18">
    <w:abstractNumId w:val="11"/>
  </w:num>
  <w:num w:numId="19">
    <w:abstractNumId w:val="10"/>
  </w:num>
  <w:num w:numId="20">
    <w:abstractNumId w:val="2"/>
  </w:num>
  <w:num w:numId="21">
    <w:abstractNumId w:val="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drawingGridHorizontalSpacing w:val="110"/>
  <w:displayHorizontalDrawingGridEvery w:val="2"/>
  <w:characterSpacingControl w:val="doNotCompress"/>
  <w:footnotePr>
    <w:numFmt w:val="chicago"/>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677963"/>
    <w:rsid w:val="000010BA"/>
    <w:rsid w:val="00001946"/>
    <w:rsid w:val="00002392"/>
    <w:rsid w:val="00002E5F"/>
    <w:rsid w:val="00006DB7"/>
    <w:rsid w:val="00010642"/>
    <w:rsid w:val="0001164E"/>
    <w:rsid w:val="000116CF"/>
    <w:rsid w:val="00013728"/>
    <w:rsid w:val="000165BD"/>
    <w:rsid w:val="000212ED"/>
    <w:rsid w:val="00026348"/>
    <w:rsid w:val="00026C2E"/>
    <w:rsid w:val="00027A70"/>
    <w:rsid w:val="0003021F"/>
    <w:rsid w:val="000401B5"/>
    <w:rsid w:val="000410D3"/>
    <w:rsid w:val="00042ADE"/>
    <w:rsid w:val="00044617"/>
    <w:rsid w:val="000469FD"/>
    <w:rsid w:val="00047AEF"/>
    <w:rsid w:val="00051265"/>
    <w:rsid w:val="00052213"/>
    <w:rsid w:val="00054B82"/>
    <w:rsid w:val="000550D7"/>
    <w:rsid w:val="00056CAC"/>
    <w:rsid w:val="000631D9"/>
    <w:rsid w:val="00063F71"/>
    <w:rsid w:val="00065AC9"/>
    <w:rsid w:val="0007145A"/>
    <w:rsid w:val="00073290"/>
    <w:rsid w:val="00081E9F"/>
    <w:rsid w:val="000864BE"/>
    <w:rsid w:val="00091929"/>
    <w:rsid w:val="000922F9"/>
    <w:rsid w:val="00092998"/>
    <w:rsid w:val="000976C7"/>
    <w:rsid w:val="000A0A96"/>
    <w:rsid w:val="000B0439"/>
    <w:rsid w:val="000C3CBE"/>
    <w:rsid w:val="000C3E68"/>
    <w:rsid w:val="000D0A9C"/>
    <w:rsid w:val="000D6710"/>
    <w:rsid w:val="000E1179"/>
    <w:rsid w:val="000E11EF"/>
    <w:rsid w:val="000E6508"/>
    <w:rsid w:val="000E771D"/>
    <w:rsid w:val="000F30D4"/>
    <w:rsid w:val="000F44A9"/>
    <w:rsid w:val="000F7C45"/>
    <w:rsid w:val="00101CA4"/>
    <w:rsid w:val="00103555"/>
    <w:rsid w:val="0010510A"/>
    <w:rsid w:val="00105324"/>
    <w:rsid w:val="00107495"/>
    <w:rsid w:val="001125F5"/>
    <w:rsid w:val="00112C62"/>
    <w:rsid w:val="001172B4"/>
    <w:rsid w:val="00117B1B"/>
    <w:rsid w:val="00120A37"/>
    <w:rsid w:val="00122734"/>
    <w:rsid w:val="00122BD9"/>
    <w:rsid w:val="00125501"/>
    <w:rsid w:val="001259CA"/>
    <w:rsid w:val="00132B3B"/>
    <w:rsid w:val="00133C9B"/>
    <w:rsid w:val="0013466E"/>
    <w:rsid w:val="00134E1A"/>
    <w:rsid w:val="00137847"/>
    <w:rsid w:val="00137863"/>
    <w:rsid w:val="00145F5A"/>
    <w:rsid w:val="001523C3"/>
    <w:rsid w:val="0015508E"/>
    <w:rsid w:val="00156050"/>
    <w:rsid w:val="001577A7"/>
    <w:rsid w:val="00161CA4"/>
    <w:rsid w:val="001628F2"/>
    <w:rsid w:val="0016391A"/>
    <w:rsid w:val="00164981"/>
    <w:rsid w:val="00167641"/>
    <w:rsid w:val="001730CD"/>
    <w:rsid w:val="00173BC2"/>
    <w:rsid w:val="00180469"/>
    <w:rsid w:val="00180597"/>
    <w:rsid w:val="00184E60"/>
    <w:rsid w:val="00185618"/>
    <w:rsid w:val="00187136"/>
    <w:rsid w:val="00187CBF"/>
    <w:rsid w:val="00190F12"/>
    <w:rsid w:val="0019570B"/>
    <w:rsid w:val="001958BE"/>
    <w:rsid w:val="001A21F5"/>
    <w:rsid w:val="001A2280"/>
    <w:rsid w:val="001A71D9"/>
    <w:rsid w:val="001B04BC"/>
    <w:rsid w:val="001C0304"/>
    <w:rsid w:val="001C08E6"/>
    <w:rsid w:val="001C0DE3"/>
    <w:rsid w:val="001C2CB4"/>
    <w:rsid w:val="001C2FF8"/>
    <w:rsid w:val="001C5E53"/>
    <w:rsid w:val="001C796F"/>
    <w:rsid w:val="001D0FB3"/>
    <w:rsid w:val="001D35AA"/>
    <w:rsid w:val="001D3A41"/>
    <w:rsid w:val="001D40A2"/>
    <w:rsid w:val="001D7E15"/>
    <w:rsid w:val="001E0C38"/>
    <w:rsid w:val="001E11E6"/>
    <w:rsid w:val="001E1939"/>
    <w:rsid w:val="001E2A7B"/>
    <w:rsid w:val="001F1CD2"/>
    <w:rsid w:val="001F45C3"/>
    <w:rsid w:val="001F48D9"/>
    <w:rsid w:val="001F6AC6"/>
    <w:rsid w:val="002000A9"/>
    <w:rsid w:val="002104A8"/>
    <w:rsid w:val="002133C2"/>
    <w:rsid w:val="00216C59"/>
    <w:rsid w:val="002177CD"/>
    <w:rsid w:val="002225CB"/>
    <w:rsid w:val="002254E6"/>
    <w:rsid w:val="00230BD6"/>
    <w:rsid w:val="00231169"/>
    <w:rsid w:val="002515B5"/>
    <w:rsid w:val="0025547F"/>
    <w:rsid w:val="002566F4"/>
    <w:rsid w:val="002576BC"/>
    <w:rsid w:val="002651F9"/>
    <w:rsid w:val="00270A6B"/>
    <w:rsid w:val="00271909"/>
    <w:rsid w:val="00272E3C"/>
    <w:rsid w:val="00273E0F"/>
    <w:rsid w:val="00274756"/>
    <w:rsid w:val="00276DE1"/>
    <w:rsid w:val="002912BB"/>
    <w:rsid w:val="002921D2"/>
    <w:rsid w:val="002A16C9"/>
    <w:rsid w:val="002A19C7"/>
    <w:rsid w:val="002A62C7"/>
    <w:rsid w:val="002B57A7"/>
    <w:rsid w:val="002B658A"/>
    <w:rsid w:val="002B6832"/>
    <w:rsid w:val="002C2B07"/>
    <w:rsid w:val="002C64D2"/>
    <w:rsid w:val="002D0E58"/>
    <w:rsid w:val="002D3AE1"/>
    <w:rsid w:val="002D41ED"/>
    <w:rsid w:val="002D4273"/>
    <w:rsid w:val="002D4536"/>
    <w:rsid w:val="002D70D6"/>
    <w:rsid w:val="002E2399"/>
    <w:rsid w:val="002E4B89"/>
    <w:rsid w:val="002E5BEF"/>
    <w:rsid w:val="002F0474"/>
    <w:rsid w:val="002F14F7"/>
    <w:rsid w:val="002F32A1"/>
    <w:rsid w:val="002F5872"/>
    <w:rsid w:val="0030102A"/>
    <w:rsid w:val="00301EEB"/>
    <w:rsid w:val="00302E7D"/>
    <w:rsid w:val="003038D5"/>
    <w:rsid w:val="00303C41"/>
    <w:rsid w:val="00304415"/>
    <w:rsid w:val="00307500"/>
    <w:rsid w:val="00315F1A"/>
    <w:rsid w:val="0032489E"/>
    <w:rsid w:val="003259D1"/>
    <w:rsid w:val="003277FA"/>
    <w:rsid w:val="00337C63"/>
    <w:rsid w:val="00337CDB"/>
    <w:rsid w:val="00343E76"/>
    <w:rsid w:val="00344211"/>
    <w:rsid w:val="00352C96"/>
    <w:rsid w:val="003573BD"/>
    <w:rsid w:val="003618DF"/>
    <w:rsid w:val="003648A9"/>
    <w:rsid w:val="0036641A"/>
    <w:rsid w:val="003702E1"/>
    <w:rsid w:val="00380B01"/>
    <w:rsid w:val="00382DEF"/>
    <w:rsid w:val="00386F30"/>
    <w:rsid w:val="00391768"/>
    <w:rsid w:val="003917C6"/>
    <w:rsid w:val="003932E6"/>
    <w:rsid w:val="003A13CC"/>
    <w:rsid w:val="003B0E3C"/>
    <w:rsid w:val="003B2B99"/>
    <w:rsid w:val="003B3226"/>
    <w:rsid w:val="003B54B9"/>
    <w:rsid w:val="003C1A64"/>
    <w:rsid w:val="003C23B1"/>
    <w:rsid w:val="003C3E74"/>
    <w:rsid w:val="003C54AA"/>
    <w:rsid w:val="003D2A14"/>
    <w:rsid w:val="003D6A71"/>
    <w:rsid w:val="003E4A9D"/>
    <w:rsid w:val="003F701D"/>
    <w:rsid w:val="00411338"/>
    <w:rsid w:val="004124B8"/>
    <w:rsid w:val="00412ECA"/>
    <w:rsid w:val="00413836"/>
    <w:rsid w:val="004207ED"/>
    <w:rsid w:val="00420BF3"/>
    <w:rsid w:val="00433806"/>
    <w:rsid w:val="00433911"/>
    <w:rsid w:val="004344B3"/>
    <w:rsid w:val="00443DF5"/>
    <w:rsid w:val="00444210"/>
    <w:rsid w:val="004530A2"/>
    <w:rsid w:val="00457120"/>
    <w:rsid w:val="00460F2C"/>
    <w:rsid w:val="00463FCA"/>
    <w:rsid w:val="00464166"/>
    <w:rsid w:val="00464E71"/>
    <w:rsid w:val="00465E12"/>
    <w:rsid w:val="00465F4D"/>
    <w:rsid w:val="00466D2B"/>
    <w:rsid w:val="00472685"/>
    <w:rsid w:val="00474712"/>
    <w:rsid w:val="00475DC1"/>
    <w:rsid w:val="004767F7"/>
    <w:rsid w:val="00476F26"/>
    <w:rsid w:val="00491B2F"/>
    <w:rsid w:val="004942C8"/>
    <w:rsid w:val="004959A0"/>
    <w:rsid w:val="00495E14"/>
    <w:rsid w:val="004A06FA"/>
    <w:rsid w:val="004C7B5B"/>
    <w:rsid w:val="004D0E9F"/>
    <w:rsid w:val="004D50B0"/>
    <w:rsid w:val="004D52F1"/>
    <w:rsid w:val="004D5B4C"/>
    <w:rsid w:val="004E593D"/>
    <w:rsid w:val="004F304C"/>
    <w:rsid w:val="00500DA1"/>
    <w:rsid w:val="00506E41"/>
    <w:rsid w:val="00511EAE"/>
    <w:rsid w:val="00515385"/>
    <w:rsid w:val="00515C94"/>
    <w:rsid w:val="00515FE6"/>
    <w:rsid w:val="00516323"/>
    <w:rsid w:val="0051669B"/>
    <w:rsid w:val="0051736A"/>
    <w:rsid w:val="0052130B"/>
    <w:rsid w:val="005241FF"/>
    <w:rsid w:val="00530E12"/>
    <w:rsid w:val="005367AD"/>
    <w:rsid w:val="00536BE4"/>
    <w:rsid w:val="005434AB"/>
    <w:rsid w:val="0054469A"/>
    <w:rsid w:val="00545CD0"/>
    <w:rsid w:val="00547AC0"/>
    <w:rsid w:val="00552A58"/>
    <w:rsid w:val="00552F9B"/>
    <w:rsid w:val="00555E19"/>
    <w:rsid w:val="005572FD"/>
    <w:rsid w:val="0056249D"/>
    <w:rsid w:val="00562EBA"/>
    <w:rsid w:val="00563C06"/>
    <w:rsid w:val="00564FD3"/>
    <w:rsid w:val="00574404"/>
    <w:rsid w:val="005824B8"/>
    <w:rsid w:val="00583167"/>
    <w:rsid w:val="0058460D"/>
    <w:rsid w:val="005856D2"/>
    <w:rsid w:val="00592180"/>
    <w:rsid w:val="0059282C"/>
    <w:rsid w:val="00592C0C"/>
    <w:rsid w:val="0059446B"/>
    <w:rsid w:val="005A4020"/>
    <w:rsid w:val="005A49F5"/>
    <w:rsid w:val="005A4F41"/>
    <w:rsid w:val="005A563A"/>
    <w:rsid w:val="005A6E5A"/>
    <w:rsid w:val="005B3CB4"/>
    <w:rsid w:val="005B543D"/>
    <w:rsid w:val="005C3E0C"/>
    <w:rsid w:val="005C6729"/>
    <w:rsid w:val="005D2927"/>
    <w:rsid w:val="005D6D50"/>
    <w:rsid w:val="005E0F5C"/>
    <w:rsid w:val="005E3AD2"/>
    <w:rsid w:val="005E3C2A"/>
    <w:rsid w:val="005F0D21"/>
    <w:rsid w:val="005F3F85"/>
    <w:rsid w:val="005F689F"/>
    <w:rsid w:val="006056D6"/>
    <w:rsid w:val="00605CE5"/>
    <w:rsid w:val="00610305"/>
    <w:rsid w:val="00616C98"/>
    <w:rsid w:val="00616E8C"/>
    <w:rsid w:val="00624E4B"/>
    <w:rsid w:val="00626169"/>
    <w:rsid w:val="00634CBA"/>
    <w:rsid w:val="00634D8A"/>
    <w:rsid w:val="00644F46"/>
    <w:rsid w:val="00650039"/>
    <w:rsid w:val="0065767A"/>
    <w:rsid w:val="0066279F"/>
    <w:rsid w:val="00663A4E"/>
    <w:rsid w:val="0066450B"/>
    <w:rsid w:val="0066534F"/>
    <w:rsid w:val="00665D2E"/>
    <w:rsid w:val="00670148"/>
    <w:rsid w:val="00674576"/>
    <w:rsid w:val="00676E24"/>
    <w:rsid w:val="00677963"/>
    <w:rsid w:val="00682078"/>
    <w:rsid w:val="00684B63"/>
    <w:rsid w:val="00684CCE"/>
    <w:rsid w:val="00687534"/>
    <w:rsid w:val="006878FA"/>
    <w:rsid w:val="00691428"/>
    <w:rsid w:val="00692FF5"/>
    <w:rsid w:val="00697F0D"/>
    <w:rsid w:val="006A036F"/>
    <w:rsid w:val="006A089F"/>
    <w:rsid w:val="006A52D5"/>
    <w:rsid w:val="006B6422"/>
    <w:rsid w:val="006C2064"/>
    <w:rsid w:val="006C3AA2"/>
    <w:rsid w:val="006D26D7"/>
    <w:rsid w:val="006D2A84"/>
    <w:rsid w:val="006D31F2"/>
    <w:rsid w:val="006D5799"/>
    <w:rsid w:val="006E2555"/>
    <w:rsid w:val="006E4A0C"/>
    <w:rsid w:val="006F209C"/>
    <w:rsid w:val="006F6362"/>
    <w:rsid w:val="006F7414"/>
    <w:rsid w:val="007015D6"/>
    <w:rsid w:val="00704C7A"/>
    <w:rsid w:val="007062D0"/>
    <w:rsid w:val="007121FC"/>
    <w:rsid w:val="00723A44"/>
    <w:rsid w:val="007263D5"/>
    <w:rsid w:val="00726ED5"/>
    <w:rsid w:val="007305E7"/>
    <w:rsid w:val="00730BA5"/>
    <w:rsid w:val="00731CF3"/>
    <w:rsid w:val="007338D3"/>
    <w:rsid w:val="007421A0"/>
    <w:rsid w:val="00744316"/>
    <w:rsid w:val="00745448"/>
    <w:rsid w:val="00745701"/>
    <w:rsid w:val="00746897"/>
    <w:rsid w:val="00761E30"/>
    <w:rsid w:val="00763A3C"/>
    <w:rsid w:val="00766A27"/>
    <w:rsid w:val="00766ABE"/>
    <w:rsid w:val="00767F1F"/>
    <w:rsid w:val="00776E5F"/>
    <w:rsid w:val="00780D57"/>
    <w:rsid w:val="00780DEB"/>
    <w:rsid w:val="007820FB"/>
    <w:rsid w:val="007844C3"/>
    <w:rsid w:val="00785022"/>
    <w:rsid w:val="007868C2"/>
    <w:rsid w:val="00787C19"/>
    <w:rsid w:val="00792113"/>
    <w:rsid w:val="00797D76"/>
    <w:rsid w:val="007A18E2"/>
    <w:rsid w:val="007A30E5"/>
    <w:rsid w:val="007B4A47"/>
    <w:rsid w:val="007B4BC2"/>
    <w:rsid w:val="007B5EDC"/>
    <w:rsid w:val="007B7021"/>
    <w:rsid w:val="007C0CD3"/>
    <w:rsid w:val="007C2E59"/>
    <w:rsid w:val="007C7E89"/>
    <w:rsid w:val="007D0423"/>
    <w:rsid w:val="007D49F3"/>
    <w:rsid w:val="007E0189"/>
    <w:rsid w:val="007E05F9"/>
    <w:rsid w:val="007E0983"/>
    <w:rsid w:val="007E4C90"/>
    <w:rsid w:val="007F4025"/>
    <w:rsid w:val="007F6612"/>
    <w:rsid w:val="007F6897"/>
    <w:rsid w:val="007F6A72"/>
    <w:rsid w:val="0080179C"/>
    <w:rsid w:val="00805772"/>
    <w:rsid w:val="008062F1"/>
    <w:rsid w:val="00813605"/>
    <w:rsid w:val="00814FA9"/>
    <w:rsid w:val="00815317"/>
    <w:rsid w:val="00817058"/>
    <w:rsid w:val="00817321"/>
    <w:rsid w:val="00822B0B"/>
    <w:rsid w:val="00826B18"/>
    <w:rsid w:val="008302E5"/>
    <w:rsid w:val="00830AC8"/>
    <w:rsid w:val="00844B6C"/>
    <w:rsid w:val="00855376"/>
    <w:rsid w:val="0085763F"/>
    <w:rsid w:val="00863198"/>
    <w:rsid w:val="0087044D"/>
    <w:rsid w:val="008717A2"/>
    <w:rsid w:val="008720A4"/>
    <w:rsid w:val="00880CA8"/>
    <w:rsid w:val="00882B64"/>
    <w:rsid w:val="00891814"/>
    <w:rsid w:val="00891BED"/>
    <w:rsid w:val="008958C4"/>
    <w:rsid w:val="0089597B"/>
    <w:rsid w:val="008B4CD4"/>
    <w:rsid w:val="008B7879"/>
    <w:rsid w:val="008C13A4"/>
    <w:rsid w:val="008C3146"/>
    <w:rsid w:val="008C7C79"/>
    <w:rsid w:val="008D03D3"/>
    <w:rsid w:val="008E2089"/>
    <w:rsid w:val="008E2B0C"/>
    <w:rsid w:val="008F0077"/>
    <w:rsid w:val="008F0B38"/>
    <w:rsid w:val="008F35A4"/>
    <w:rsid w:val="008F39B0"/>
    <w:rsid w:val="008F5A2F"/>
    <w:rsid w:val="00903281"/>
    <w:rsid w:val="00911AA5"/>
    <w:rsid w:val="00917F4D"/>
    <w:rsid w:val="00921A28"/>
    <w:rsid w:val="0092370A"/>
    <w:rsid w:val="00923B55"/>
    <w:rsid w:val="0092517D"/>
    <w:rsid w:val="00931428"/>
    <w:rsid w:val="00932234"/>
    <w:rsid w:val="00932385"/>
    <w:rsid w:val="00933868"/>
    <w:rsid w:val="00934058"/>
    <w:rsid w:val="00940196"/>
    <w:rsid w:val="00944385"/>
    <w:rsid w:val="009468BF"/>
    <w:rsid w:val="0095143C"/>
    <w:rsid w:val="009529A1"/>
    <w:rsid w:val="00954B57"/>
    <w:rsid w:val="00954ECF"/>
    <w:rsid w:val="00957897"/>
    <w:rsid w:val="00961D70"/>
    <w:rsid w:val="00961DC0"/>
    <w:rsid w:val="009620A9"/>
    <w:rsid w:val="00967391"/>
    <w:rsid w:val="00970331"/>
    <w:rsid w:val="00971D00"/>
    <w:rsid w:val="00974D6A"/>
    <w:rsid w:val="0097621E"/>
    <w:rsid w:val="009767A8"/>
    <w:rsid w:val="00977416"/>
    <w:rsid w:val="00977F54"/>
    <w:rsid w:val="009815DD"/>
    <w:rsid w:val="00982BA7"/>
    <w:rsid w:val="00982EBD"/>
    <w:rsid w:val="009852AE"/>
    <w:rsid w:val="00990936"/>
    <w:rsid w:val="00992121"/>
    <w:rsid w:val="009A12B2"/>
    <w:rsid w:val="009A6FDF"/>
    <w:rsid w:val="009B0000"/>
    <w:rsid w:val="009C261E"/>
    <w:rsid w:val="009C2BC9"/>
    <w:rsid w:val="009C2E4B"/>
    <w:rsid w:val="009C5897"/>
    <w:rsid w:val="009D14A4"/>
    <w:rsid w:val="009D7E0B"/>
    <w:rsid w:val="009E2A28"/>
    <w:rsid w:val="009E5DD1"/>
    <w:rsid w:val="009E650C"/>
    <w:rsid w:val="009F1C01"/>
    <w:rsid w:val="009F5F84"/>
    <w:rsid w:val="00A02956"/>
    <w:rsid w:val="00A12984"/>
    <w:rsid w:val="00A2316D"/>
    <w:rsid w:val="00A25518"/>
    <w:rsid w:val="00A25859"/>
    <w:rsid w:val="00A270C9"/>
    <w:rsid w:val="00A31B69"/>
    <w:rsid w:val="00A40E24"/>
    <w:rsid w:val="00A4204D"/>
    <w:rsid w:val="00A4253F"/>
    <w:rsid w:val="00A450C3"/>
    <w:rsid w:val="00A462E4"/>
    <w:rsid w:val="00A561ED"/>
    <w:rsid w:val="00A64629"/>
    <w:rsid w:val="00A65BB9"/>
    <w:rsid w:val="00A74235"/>
    <w:rsid w:val="00A75F74"/>
    <w:rsid w:val="00A8002A"/>
    <w:rsid w:val="00A82815"/>
    <w:rsid w:val="00A83C10"/>
    <w:rsid w:val="00A83F98"/>
    <w:rsid w:val="00A844DF"/>
    <w:rsid w:val="00A911A4"/>
    <w:rsid w:val="00A91F32"/>
    <w:rsid w:val="00A96EF9"/>
    <w:rsid w:val="00AA0703"/>
    <w:rsid w:val="00AC1016"/>
    <w:rsid w:val="00AC5B37"/>
    <w:rsid w:val="00AC6747"/>
    <w:rsid w:val="00AD0060"/>
    <w:rsid w:val="00AD007B"/>
    <w:rsid w:val="00AD1A22"/>
    <w:rsid w:val="00AE3647"/>
    <w:rsid w:val="00AE3810"/>
    <w:rsid w:val="00AE49CE"/>
    <w:rsid w:val="00AE5E00"/>
    <w:rsid w:val="00AE78A2"/>
    <w:rsid w:val="00B0734D"/>
    <w:rsid w:val="00B133B5"/>
    <w:rsid w:val="00B15674"/>
    <w:rsid w:val="00B172A0"/>
    <w:rsid w:val="00B20181"/>
    <w:rsid w:val="00B207D6"/>
    <w:rsid w:val="00B2230F"/>
    <w:rsid w:val="00B24797"/>
    <w:rsid w:val="00B30B1D"/>
    <w:rsid w:val="00B35027"/>
    <w:rsid w:val="00B353B2"/>
    <w:rsid w:val="00B37AEB"/>
    <w:rsid w:val="00B44DFA"/>
    <w:rsid w:val="00B503DF"/>
    <w:rsid w:val="00B50968"/>
    <w:rsid w:val="00B52739"/>
    <w:rsid w:val="00B547FE"/>
    <w:rsid w:val="00B5489C"/>
    <w:rsid w:val="00B61FE7"/>
    <w:rsid w:val="00B71B3E"/>
    <w:rsid w:val="00B7323F"/>
    <w:rsid w:val="00B87A3B"/>
    <w:rsid w:val="00B914D6"/>
    <w:rsid w:val="00B92906"/>
    <w:rsid w:val="00B97F76"/>
    <w:rsid w:val="00BA42E3"/>
    <w:rsid w:val="00BA498F"/>
    <w:rsid w:val="00BA4EFB"/>
    <w:rsid w:val="00BA5973"/>
    <w:rsid w:val="00BA7238"/>
    <w:rsid w:val="00BA7F1C"/>
    <w:rsid w:val="00BB013B"/>
    <w:rsid w:val="00BB2309"/>
    <w:rsid w:val="00BB6F89"/>
    <w:rsid w:val="00BB7B7F"/>
    <w:rsid w:val="00BC0B72"/>
    <w:rsid w:val="00BC3AE7"/>
    <w:rsid w:val="00BC51CC"/>
    <w:rsid w:val="00BC56A6"/>
    <w:rsid w:val="00BC6D8B"/>
    <w:rsid w:val="00BD613F"/>
    <w:rsid w:val="00BE0AE7"/>
    <w:rsid w:val="00BE2C38"/>
    <w:rsid w:val="00BE6E02"/>
    <w:rsid w:val="00BE7929"/>
    <w:rsid w:val="00BF014C"/>
    <w:rsid w:val="00C036E0"/>
    <w:rsid w:val="00C05321"/>
    <w:rsid w:val="00C07009"/>
    <w:rsid w:val="00C143B4"/>
    <w:rsid w:val="00C15F35"/>
    <w:rsid w:val="00C16570"/>
    <w:rsid w:val="00C22C81"/>
    <w:rsid w:val="00C23234"/>
    <w:rsid w:val="00C2718F"/>
    <w:rsid w:val="00C30DEF"/>
    <w:rsid w:val="00C320EE"/>
    <w:rsid w:val="00C34407"/>
    <w:rsid w:val="00C37C10"/>
    <w:rsid w:val="00C41790"/>
    <w:rsid w:val="00C41A65"/>
    <w:rsid w:val="00C42886"/>
    <w:rsid w:val="00C431F8"/>
    <w:rsid w:val="00C47C1F"/>
    <w:rsid w:val="00C47CFA"/>
    <w:rsid w:val="00C52C8A"/>
    <w:rsid w:val="00C605F3"/>
    <w:rsid w:val="00C62F23"/>
    <w:rsid w:val="00C64C3B"/>
    <w:rsid w:val="00C65ADE"/>
    <w:rsid w:val="00C71B34"/>
    <w:rsid w:val="00C75BFD"/>
    <w:rsid w:val="00C8260D"/>
    <w:rsid w:val="00C858B3"/>
    <w:rsid w:val="00C9740B"/>
    <w:rsid w:val="00C97497"/>
    <w:rsid w:val="00CA33CF"/>
    <w:rsid w:val="00CA4B4D"/>
    <w:rsid w:val="00CA513A"/>
    <w:rsid w:val="00CA6F48"/>
    <w:rsid w:val="00CB0A3C"/>
    <w:rsid w:val="00CB0B27"/>
    <w:rsid w:val="00CB4922"/>
    <w:rsid w:val="00CB66D0"/>
    <w:rsid w:val="00CB7F7D"/>
    <w:rsid w:val="00CC3FE9"/>
    <w:rsid w:val="00CD3A7C"/>
    <w:rsid w:val="00CD516E"/>
    <w:rsid w:val="00CE0145"/>
    <w:rsid w:val="00CE22DF"/>
    <w:rsid w:val="00CE3B7C"/>
    <w:rsid w:val="00CE59CA"/>
    <w:rsid w:val="00CF0C99"/>
    <w:rsid w:val="00CF1B07"/>
    <w:rsid w:val="00CF3238"/>
    <w:rsid w:val="00CF3D05"/>
    <w:rsid w:val="00CF601B"/>
    <w:rsid w:val="00CF71B4"/>
    <w:rsid w:val="00CF724F"/>
    <w:rsid w:val="00CF7E8D"/>
    <w:rsid w:val="00D023CF"/>
    <w:rsid w:val="00D04000"/>
    <w:rsid w:val="00D10FB0"/>
    <w:rsid w:val="00D16F68"/>
    <w:rsid w:val="00D17E1D"/>
    <w:rsid w:val="00D20C45"/>
    <w:rsid w:val="00D22BA9"/>
    <w:rsid w:val="00D24806"/>
    <w:rsid w:val="00D249A0"/>
    <w:rsid w:val="00D31697"/>
    <w:rsid w:val="00D33D66"/>
    <w:rsid w:val="00D41F17"/>
    <w:rsid w:val="00D44F9C"/>
    <w:rsid w:val="00D475E3"/>
    <w:rsid w:val="00D51BBF"/>
    <w:rsid w:val="00D53D0D"/>
    <w:rsid w:val="00D57BE2"/>
    <w:rsid w:val="00D6317B"/>
    <w:rsid w:val="00D63452"/>
    <w:rsid w:val="00D65F17"/>
    <w:rsid w:val="00D710C6"/>
    <w:rsid w:val="00D76C25"/>
    <w:rsid w:val="00D80D77"/>
    <w:rsid w:val="00D822E7"/>
    <w:rsid w:val="00D86723"/>
    <w:rsid w:val="00D95DBD"/>
    <w:rsid w:val="00D966A6"/>
    <w:rsid w:val="00DA0044"/>
    <w:rsid w:val="00DA2F47"/>
    <w:rsid w:val="00DC2040"/>
    <w:rsid w:val="00DC4217"/>
    <w:rsid w:val="00DC510E"/>
    <w:rsid w:val="00DC6DDF"/>
    <w:rsid w:val="00DD2550"/>
    <w:rsid w:val="00DD54CA"/>
    <w:rsid w:val="00DD7A29"/>
    <w:rsid w:val="00DE49FE"/>
    <w:rsid w:val="00DE528B"/>
    <w:rsid w:val="00DF3C5A"/>
    <w:rsid w:val="00DF7ED7"/>
    <w:rsid w:val="00E013FB"/>
    <w:rsid w:val="00E01A34"/>
    <w:rsid w:val="00E078FB"/>
    <w:rsid w:val="00E16728"/>
    <w:rsid w:val="00E22700"/>
    <w:rsid w:val="00E22BC2"/>
    <w:rsid w:val="00E27408"/>
    <w:rsid w:val="00E31CA8"/>
    <w:rsid w:val="00E32933"/>
    <w:rsid w:val="00E33379"/>
    <w:rsid w:val="00E33A39"/>
    <w:rsid w:val="00E33BDF"/>
    <w:rsid w:val="00E36F06"/>
    <w:rsid w:val="00E40FE7"/>
    <w:rsid w:val="00E41FB5"/>
    <w:rsid w:val="00E43E96"/>
    <w:rsid w:val="00E4570B"/>
    <w:rsid w:val="00E51E61"/>
    <w:rsid w:val="00E53F71"/>
    <w:rsid w:val="00E547EC"/>
    <w:rsid w:val="00E60930"/>
    <w:rsid w:val="00E70339"/>
    <w:rsid w:val="00E71740"/>
    <w:rsid w:val="00E7278C"/>
    <w:rsid w:val="00E81EB0"/>
    <w:rsid w:val="00E81FEE"/>
    <w:rsid w:val="00E85223"/>
    <w:rsid w:val="00E852C3"/>
    <w:rsid w:val="00E87976"/>
    <w:rsid w:val="00E87F80"/>
    <w:rsid w:val="00E906F8"/>
    <w:rsid w:val="00E92635"/>
    <w:rsid w:val="00E93175"/>
    <w:rsid w:val="00EA1065"/>
    <w:rsid w:val="00EA1595"/>
    <w:rsid w:val="00EB46FB"/>
    <w:rsid w:val="00EB70A9"/>
    <w:rsid w:val="00EC0524"/>
    <w:rsid w:val="00EC6318"/>
    <w:rsid w:val="00ED2A58"/>
    <w:rsid w:val="00ED4824"/>
    <w:rsid w:val="00EE0AAA"/>
    <w:rsid w:val="00EE325B"/>
    <w:rsid w:val="00EE4AED"/>
    <w:rsid w:val="00EF2C09"/>
    <w:rsid w:val="00EF3E5F"/>
    <w:rsid w:val="00EF5A10"/>
    <w:rsid w:val="00EF5D7B"/>
    <w:rsid w:val="00EF6E96"/>
    <w:rsid w:val="00F0335E"/>
    <w:rsid w:val="00F055E1"/>
    <w:rsid w:val="00F13160"/>
    <w:rsid w:val="00F160AA"/>
    <w:rsid w:val="00F21FF2"/>
    <w:rsid w:val="00F227AA"/>
    <w:rsid w:val="00F247AA"/>
    <w:rsid w:val="00F25986"/>
    <w:rsid w:val="00F32D55"/>
    <w:rsid w:val="00F33A0F"/>
    <w:rsid w:val="00F350AC"/>
    <w:rsid w:val="00F4367E"/>
    <w:rsid w:val="00F43E9F"/>
    <w:rsid w:val="00F44CCF"/>
    <w:rsid w:val="00F51071"/>
    <w:rsid w:val="00F5295B"/>
    <w:rsid w:val="00F529AC"/>
    <w:rsid w:val="00F56076"/>
    <w:rsid w:val="00F57A14"/>
    <w:rsid w:val="00F626F9"/>
    <w:rsid w:val="00F652D9"/>
    <w:rsid w:val="00F67A3A"/>
    <w:rsid w:val="00F7680A"/>
    <w:rsid w:val="00F8194E"/>
    <w:rsid w:val="00F82431"/>
    <w:rsid w:val="00F82955"/>
    <w:rsid w:val="00F84B45"/>
    <w:rsid w:val="00F8625C"/>
    <w:rsid w:val="00F876DF"/>
    <w:rsid w:val="00F93005"/>
    <w:rsid w:val="00F93B95"/>
    <w:rsid w:val="00F97897"/>
    <w:rsid w:val="00FA21A5"/>
    <w:rsid w:val="00FA6B7A"/>
    <w:rsid w:val="00FA73BB"/>
    <w:rsid w:val="00FC2566"/>
    <w:rsid w:val="00FC2D2C"/>
    <w:rsid w:val="00FC37B2"/>
    <w:rsid w:val="00FD0629"/>
    <w:rsid w:val="00FD0A1B"/>
    <w:rsid w:val="00FE3339"/>
    <w:rsid w:val="00FF0B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5E"/>
    <w:pPr>
      <w:spacing w:after="200" w:line="276" w:lineRule="auto"/>
    </w:pPr>
    <w:rPr>
      <w:sz w:val="22"/>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7963"/>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77963"/>
    <w:rPr>
      <w:rFonts w:ascii="Tahoma" w:hAnsi="Tahoma" w:cs="Tahoma"/>
      <w:sz w:val="16"/>
      <w:szCs w:val="16"/>
    </w:rPr>
  </w:style>
  <w:style w:type="paragraph" w:styleId="NormalWeb">
    <w:name w:val="Normal (Web)"/>
    <w:basedOn w:val="Normal"/>
    <w:uiPriority w:val="99"/>
    <w:semiHidden/>
    <w:unhideWhenUsed/>
    <w:rsid w:val="008E23A2"/>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Listecouleur-Accent11">
    <w:name w:val="Liste couleur - Accent 11"/>
    <w:basedOn w:val="Normal"/>
    <w:uiPriority w:val="34"/>
    <w:qFormat/>
    <w:rsid w:val="00AC7D1F"/>
    <w:pPr>
      <w:ind w:left="708"/>
    </w:pPr>
  </w:style>
  <w:style w:type="paragraph" w:styleId="Notedebasdepage">
    <w:name w:val="footnote text"/>
    <w:basedOn w:val="Normal"/>
    <w:link w:val="NotedebasdepageCar"/>
    <w:uiPriority w:val="99"/>
    <w:unhideWhenUsed/>
    <w:rsid w:val="0071389E"/>
    <w:rPr>
      <w:sz w:val="20"/>
      <w:szCs w:val="20"/>
    </w:rPr>
  </w:style>
  <w:style w:type="character" w:customStyle="1" w:styleId="NotedebasdepageCar">
    <w:name w:val="Note de bas de page Car"/>
    <w:link w:val="Notedebasdepage"/>
    <w:uiPriority w:val="99"/>
    <w:rsid w:val="0071389E"/>
    <w:rPr>
      <w:lang w:eastAsia="en-US"/>
    </w:rPr>
  </w:style>
  <w:style w:type="character" w:styleId="Appelnotedebasdep">
    <w:name w:val="footnote reference"/>
    <w:uiPriority w:val="99"/>
    <w:semiHidden/>
    <w:unhideWhenUsed/>
    <w:rsid w:val="0071389E"/>
    <w:rPr>
      <w:vertAlign w:val="superscript"/>
    </w:rPr>
  </w:style>
  <w:style w:type="paragraph" w:customStyle="1" w:styleId="bbccenter">
    <w:name w:val="bbc_center"/>
    <w:basedOn w:val="Normal"/>
    <w:rsid w:val="00D60F21"/>
    <w:pPr>
      <w:spacing w:before="100" w:beforeAutospacing="1" w:after="100" w:afterAutospacing="1" w:line="240" w:lineRule="auto"/>
    </w:pPr>
    <w:rPr>
      <w:rFonts w:ascii="Times New Roman" w:eastAsia="Times New Roman" w:hAnsi="Times New Roman"/>
      <w:sz w:val="24"/>
      <w:szCs w:val="24"/>
      <w:lang w:eastAsia="fr-BE"/>
    </w:rPr>
  </w:style>
  <w:style w:type="paragraph" w:styleId="Pieddepage">
    <w:name w:val="footer"/>
    <w:basedOn w:val="Normal"/>
    <w:link w:val="PieddepageCar"/>
    <w:uiPriority w:val="99"/>
    <w:rsid w:val="00102BDF"/>
    <w:pPr>
      <w:tabs>
        <w:tab w:val="center" w:pos="4536"/>
        <w:tab w:val="right" w:pos="9072"/>
      </w:tabs>
    </w:pPr>
  </w:style>
  <w:style w:type="character" w:styleId="Numrodepage">
    <w:name w:val="page number"/>
    <w:basedOn w:val="Policepardfaut"/>
    <w:rsid w:val="00102BDF"/>
  </w:style>
  <w:style w:type="paragraph" w:styleId="En-tte">
    <w:name w:val="header"/>
    <w:basedOn w:val="Normal"/>
    <w:link w:val="En-tteCar"/>
    <w:uiPriority w:val="99"/>
    <w:rsid w:val="00C66D23"/>
    <w:pPr>
      <w:tabs>
        <w:tab w:val="center" w:pos="4536"/>
        <w:tab w:val="right" w:pos="9072"/>
      </w:tabs>
    </w:pPr>
  </w:style>
  <w:style w:type="character" w:customStyle="1" w:styleId="En-tteCar">
    <w:name w:val="En-tête Car"/>
    <w:link w:val="En-tte"/>
    <w:uiPriority w:val="99"/>
    <w:rsid w:val="00D30406"/>
    <w:rPr>
      <w:sz w:val="22"/>
      <w:szCs w:val="22"/>
      <w:lang w:val="fr-BE" w:eastAsia="en-US"/>
    </w:rPr>
  </w:style>
  <w:style w:type="table" w:styleId="Grilledutableau">
    <w:name w:val="Table Grid"/>
    <w:basedOn w:val="TableauNormal"/>
    <w:uiPriority w:val="59"/>
    <w:rsid w:val="00577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fin">
    <w:name w:val="endnote text"/>
    <w:basedOn w:val="Normal"/>
    <w:link w:val="NotedefinCar"/>
    <w:semiHidden/>
    <w:rsid w:val="00F2139D"/>
    <w:pPr>
      <w:spacing w:after="0" w:line="240" w:lineRule="auto"/>
    </w:pPr>
    <w:rPr>
      <w:rFonts w:ascii="Times New Roman" w:eastAsia="Times New Roman" w:hAnsi="Times New Roman"/>
      <w:color w:val="000000"/>
      <w:sz w:val="20"/>
      <w:szCs w:val="20"/>
      <w:lang w:val="en-US"/>
    </w:rPr>
  </w:style>
  <w:style w:type="character" w:customStyle="1" w:styleId="NotedefinCar">
    <w:name w:val="Note de fin Car"/>
    <w:link w:val="Notedefin"/>
    <w:semiHidden/>
    <w:rsid w:val="00F2139D"/>
    <w:rPr>
      <w:rFonts w:ascii="Times New Roman" w:eastAsia="Times New Roman" w:hAnsi="Times New Roman"/>
      <w:color w:val="000000"/>
      <w:lang w:val="en-US"/>
    </w:rPr>
  </w:style>
  <w:style w:type="character" w:styleId="Appeldenotedefin">
    <w:name w:val="endnote reference"/>
    <w:semiHidden/>
    <w:rsid w:val="00F2139D"/>
    <w:rPr>
      <w:vertAlign w:val="superscript"/>
    </w:rPr>
  </w:style>
  <w:style w:type="character" w:customStyle="1" w:styleId="PieddepageCar">
    <w:name w:val="Pied de page Car"/>
    <w:link w:val="Pieddepage"/>
    <w:uiPriority w:val="99"/>
    <w:rsid w:val="001268D4"/>
    <w:rPr>
      <w:sz w:val="22"/>
      <w:szCs w:val="22"/>
      <w:lang w:eastAsia="en-US"/>
    </w:rPr>
  </w:style>
  <w:style w:type="character" w:customStyle="1" w:styleId="Grillemoyenne11">
    <w:name w:val="Grille moyenne 11"/>
    <w:uiPriority w:val="99"/>
    <w:semiHidden/>
    <w:rsid w:val="001268D4"/>
    <w:rPr>
      <w:color w:val="808080"/>
    </w:rPr>
  </w:style>
  <w:style w:type="character" w:styleId="Marquedecommentaire">
    <w:name w:val="annotation reference"/>
    <w:uiPriority w:val="99"/>
    <w:semiHidden/>
    <w:unhideWhenUsed/>
    <w:rsid w:val="006B049C"/>
    <w:rPr>
      <w:sz w:val="18"/>
      <w:szCs w:val="18"/>
    </w:rPr>
  </w:style>
  <w:style w:type="paragraph" w:styleId="Commentaire">
    <w:name w:val="annotation text"/>
    <w:basedOn w:val="Normal"/>
    <w:link w:val="CommentaireCar"/>
    <w:uiPriority w:val="99"/>
    <w:semiHidden/>
    <w:unhideWhenUsed/>
    <w:rsid w:val="006B049C"/>
    <w:rPr>
      <w:sz w:val="24"/>
      <w:szCs w:val="24"/>
    </w:rPr>
  </w:style>
  <w:style w:type="character" w:customStyle="1" w:styleId="CommentaireCar">
    <w:name w:val="Commentaire Car"/>
    <w:link w:val="Commentaire"/>
    <w:uiPriority w:val="99"/>
    <w:semiHidden/>
    <w:rsid w:val="006B049C"/>
    <w:rPr>
      <w:sz w:val="24"/>
      <w:szCs w:val="24"/>
      <w:lang w:val="fr-BE" w:eastAsia="en-US"/>
    </w:rPr>
  </w:style>
  <w:style w:type="paragraph" w:styleId="Objetducommentaire">
    <w:name w:val="annotation subject"/>
    <w:basedOn w:val="Commentaire"/>
    <w:next w:val="Commentaire"/>
    <w:link w:val="ObjetducommentaireCar"/>
    <w:uiPriority w:val="99"/>
    <w:semiHidden/>
    <w:unhideWhenUsed/>
    <w:rsid w:val="006B049C"/>
    <w:rPr>
      <w:b/>
      <w:bCs/>
    </w:rPr>
  </w:style>
  <w:style w:type="character" w:customStyle="1" w:styleId="ObjetducommentaireCar">
    <w:name w:val="Objet du commentaire Car"/>
    <w:link w:val="Objetducommentaire"/>
    <w:uiPriority w:val="99"/>
    <w:semiHidden/>
    <w:rsid w:val="006B049C"/>
    <w:rPr>
      <w:b/>
      <w:bCs/>
      <w:sz w:val="24"/>
      <w:szCs w:val="24"/>
      <w:lang w:val="fr-BE" w:eastAsia="en-US"/>
    </w:rPr>
  </w:style>
  <w:style w:type="paragraph" w:styleId="Rvision">
    <w:name w:val="Revision"/>
    <w:hidden/>
    <w:uiPriority w:val="99"/>
    <w:semiHidden/>
    <w:rsid w:val="00C16570"/>
    <w:rPr>
      <w:sz w:val="22"/>
      <w:szCs w:val="22"/>
      <w:lang w:val="fr-BE" w:eastAsia="en-US"/>
    </w:rPr>
  </w:style>
</w:styles>
</file>

<file path=word/webSettings.xml><?xml version="1.0" encoding="utf-8"?>
<w:webSettings xmlns:r="http://schemas.openxmlformats.org/officeDocument/2006/relationships" xmlns:w="http://schemas.openxmlformats.org/wordprocessingml/2006/main">
  <w:divs>
    <w:div w:id="43411821">
      <w:bodyDiv w:val="1"/>
      <w:marLeft w:val="0"/>
      <w:marRight w:val="0"/>
      <w:marTop w:val="0"/>
      <w:marBottom w:val="0"/>
      <w:divBdr>
        <w:top w:val="none" w:sz="0" w:space="0" w:color="auto"/>
        <w:left w:val="none" w:sz="0" w:space="0" w:color="auto"/>
        <w:bottom w:val="none" w:sz="0" w:space="0" w:color="auto"/>
        <w:right w:val="none" w:sz="0" w:space="0" w:color="auto"/>
      </w:divBdr>
    </w:div>
    <w:div w:id="336156369">
      <w:bodyDiv w:val="1"/>
      <w:marLeft w:val="0"/>
      <w:marRight w:val="0"/>
      <w:marTop w:val="0"/>
      <w:marBottom w:val="0"/>
      <w:divBdr>
        <w:top w:val="none" w:sz="0" w:space="0" w:color="auto"/>
        <w:left w:val="none" w:sz="0" w:space="0" w:color="auto"/>
        <w:bottom w:val="none" w:sz="0" w:space="0" w:color="auto"/>
        <w:right w:val="none" w:sz="0" w:space="0" w:color="auto"/>
      </w:divBdr>
    </w:div>
    <w:div w:id="340359252">
      <w:bodyDiv w:val="1"/>
      <w:marLeft w:val="0"/>
      <w:marRight w:val="0"/>
      <w:marTop w:val="0"/>
      <w:marBottom w:val="0"/>
      <w:divBdr>
        <w:top w:val="none" w:sz="0" w:space="0" w:color="auto"/>
        <w:left w:val="none" w:sz="0" w:space="0" w:color="auto"/>
        <w:bottom w:val="none" w:sz="0" w:space="0" w:color="auto"/>
        <w:right w:val="none" w:sz="0" w:space="0" w:color="auto"/>
      </w:divBdr>
    </w:div>
    <w:div w:id="612900768">
      <w:bodyDiv w:val="1"/>
      <w:marLeft w:val="0"/>
      <w:marRight w:val="0"/>
      <w:marTop w:val="0"/>
      <w:marBottom w:val="0"/>
      <w:divBdr>
        <w:top w:val="none" w:sz="0" w:space="0" w:color="auto"/>
        <w:left w:val="none" w:sz="0" w:space="0" w:color="auto"/>
        <w:bottom w:val="none" w:sz="0" w:space="0" w:color="auto"/>
        <w:right w:val="none" w:sz="0" w:space="0" w:color="auto"/>
      </w:divBdr>
    </w:div>
    <w:div w:id="705256454">
      <w:bodyDiv w:val="1"/>
      <w:marLeft w:val="0"/>
      <w:marRight w:val="0"/>
      <w:marTop w:val="0"/>
      <w:marBottom w:val="0"/>
      <w:divBdr>
        <w:top w:val="none" w:sz="0" w:space="0" w:color="auto"/>
        <w:left w:val="none" w:sz="0" w:space="0" w:color="auto"/>
        <w:bottom w:val="none" w:sz="0" w:space="0" w:color="auto"/>
        <w:right w:val="none" w:sz="0" w:space="0" w:color="auto"/>
      </w:divBdr>
      <w:divsChild>
        <w:div w:id="298152419">
          <w:marLeft w:val="1166"/>
          <w:marRight w:val="0"/>
          <w:marTop w:val="134"/>
          <w:marBottom w:val="0"/>
          <w:divBdr>
            <w:top w:val="none" w:sz="0" w:space="0" w:color="auto"/>
            <w:left w:val="none" w:sz="0" w:space="0" w:color="auto"/>
            <w:bottom w:val="none" w:sz="0" w:space="0" w:color="auto"/>
            <w:right w:val="none" w:sz="0" w:space="0" w:color="auto"/>
          </w:divBdr>
        </w:div>
        <w:div w:id="985469379">
          <w:marLeft w:val="547"/>
          <w:marRight w:val="0"/>
          <w:marTop w:val="134"/>
          <w:marBottom w:val="0"/>
          <w:divBdr>
            <w:top w:val="none" w:sz="0" w:space="0" w:color="auto"/>
            <w:left w:val="none" w:sz="0" w:space="0" w:color="auto"/>
            <w:bottom w:val="none" w:sz="0" w:space="0" w:color="auto"/>
            <w:right w:val="none" w:sz="0" w:space="0" w:color="auto"/>
          </w:divBdr>
        </w:div>
        <w:div w:id="2091005199">
          <w:marLeft w:val="1166"/>
          <w:marRight w:val="0"/>
          <w:marTop w:val="134"/>
          <w:marBottom w:val="0"/>
          <w:divBdr>
            <w:top w:val="none" w:sz="0" w:space="0" w:color="auto"/>
            <w:left w:val="none" w:sz="0" w:space="0" w:color="auto"/>
            <w:bottom w:val="none" w:sz="0" w:space="0" w:color="auto"/>
            <w:right w:val="none" w:sz="0" w:space="0" w:color="auto"/>
          </w:divBdr>
        </w:div>
      </w:divsChild>
    </w:div>
    <w:div w:id="710418801">
      <w:bodyDiv w:val="1"/>
      <w:marLeft w:val="0"/>
      <w:marRight w:val="0"/>
      <w:marTop w:val="0"/>
      <w:marBottom w:val="0"/>
      <w:divBdr>
        <w:top w:val="none" w:sz="0" w:space="0" w:color="auto"/>
        <w:left w:val="none" w:sz="0" w:space="0" w:color="auto"/>
        <w:bottom w:val="none" w:sz="0" w:space="0" w:color="auto"/>
        <w:right w:val="none" w:sz="0" w:space="0" w:color="auto"/>
      </w:divBdr>
    </w:div>
    <w:div w:id="780998513">
      <w:bodyDiv w:val="1"/>
      <w:marLeft w:val="0"/>
      <w:marRight w:val="0"/>
      <w:marTop w:val="0"/>
      <w:marBottom w:val="0"/>
      <w:divBdr>
        <w:top w:val="none" w:sz="0" w:space="0" w:color="auto"/>
        <w:left w:val="none" w:sz="0" w:space="0" w:color="auto"/>
        <w:bottom w:val="none" w:sz="0" w:space="0" w:color="auto"/>
        <w:right w:val="none" w:sz="0" w:space="0" w:color="auto"/>
      </w:divBdr>
    </w:div>
    <w:div w:id="937173255">
      <w:bodyDiv w:val="1"/>
      <w:marLeft w:val="0"/>
      <w:marRight w:val="0"/>
      <w:marTop w:val="0"/>
      <w:marBottom w:val="0"/>
      <w:divBdr>
        <w:top w:val="none" w:sz="0" w:space="0" w:color="auto"/>
        <w:left w:val="none" w:sz="0" w:space="0" w:color="auto"/>
        <w:bottom w:val="none" w:sz="0" w:space="0" w:color="auto"/>
        <w:right w:val="none" w:sz="0" w:space="0" w:color="auto"/>
      </w:divBdr>
      <w:divsChild>
        <w:div w:id="22637556">
          <w:marLeft w:val="1166"/>
          <w:marRight w:val="0"/>
          <w:marTop w:val="115"/>
          <w:marBottom w:val="0"/>
          <w:divBdr>
            <w:top w:val="none" w:sz="0" w:space="0" w:color="auto"/>
            <w:left w:val="none" w:sz="0" w:space="0" w:color="auto"/>
            <w:bottom w:val="none" w:sz="0" w:space="0" w:color="auto"/>
            <w:right w:val="none" w:sz="0" w:space="0" w:color="auto"/>
          </w:divBdr>
        </w:div>
        <w:div w:id="94980898">
          <w:marLeft w:val="1166"/>
          <w:marRight w:val="0"/>
          <w:marTop w:val="115"/>
          <w:marBottom w:val="0"/>
          <w:divBdr>
            <w:top w:val="none" w:sz="0" w:space="0" w:color="auto"/>
            <w:left w:val="none" w:sz="0" w:space="0" w:color="auto"/>
            <w:bottom w:val="none" w:sz="0" w:space="0" w:color="auto"/>
            <w:right w:val="none" w:sz="0" w:space="0" w:color="auto"/>
          </w:divBdr>
        </w:div>
        <w:div w:id="685327688">
          <w:marLeft w:val="547"/>
          <w:marRight w:val="0"/>
          <w:marTop w:val="134"/>
          <w:marBottom w:val="0"/>
          <w:divBdr>
            <w:top w:val="none" w:sz="0" w:space="0" w:color="auto"/>
            <w:left w:val="none" w:sz="0" w:space="0" w:color="auto"/>
            <w:bottom w:val="none" w:sz="0" w:space="0" w:color="auto"/>
            <w:right w:val="none" w:sz="0" w:space="0" w:color="auto"/>
          </w:divBdr>
        </w:div>
        <w:div w:id="1976636809">
          <w:marLeft w:val="1166"/>
          <w:marRight w:val="0"/>
          <w:marTop w:val="115"/>
          <w:marBottom w:val="0"/>
          <w:divBdr>
            <w:top w:val="none" w:sz="0" w:space="0" w:color="auto"/>
            <w:left w:val="none" w:sz="0" w:space="0" w:color="auto"/>
            <w:bottom w:val="none" w:sz="0" w:space="0" w:color="auto"/>
            <w:right w:val="none" w:sz="0" w:space="0" w:color="auto"/>
          </w:divBdr>
        </w:div>
      </w:divsChild>
    </w:div>
    <w:div w:id="957562087">
      <w:bodyDiv w:val="1"/>
      <w:marLeft w:val="0"/>
      <w:marRight w:val="0"/>
      <w:marTop w:val="0"/>
      <w:marBottom w:val="0"/>
      <w:divBdr>
        <w:top w:val="none" w:sz="0" w:space="0" w:color="auto"/>
        <w:left w:val="none" w:sz="0" w:space="0" w:color="auto"/>
        <w:bottom w:val="none" w:sz="0" w:space="0" w:color="auto"/>
        <w:right w:val="none" w:sz="0" w:space="0" w:color="auto"/>
      </w:divBdr>
    </w:div>
    <w:div w:id="1069884095">
      <w:bodyDiv w:val="1"/>
      <w:marLeft w:val="0"/>
      <w:marRight w:val="0"/>
      <w:marTop w:val="0"/>
      <w:marBottom w:val="0"/>
      <w:divBdr>
        <w:top w:val="none" w:sz="0" w:space="0" w:color="auto"/>
        <w:left w:val="none" w:sz="0" w:space="0" w:color="auto"/>
        <w:bottom w:val="none" w:sz="0" w:space="0" w:color="auto"/>
        <w:right w:val="none" w:sz="0" w:space="0" w:color="auto"/>
      </w:divBdr>
    </w:div>
    <w:div w:id="1254510147">
      <w:bodyDiv w:val="1"/>
      <w:marLeft w:val="0"/>
      <w:marRight w:val="0"/>
      <w:marTop w:val="0"/>
      <w:marBottom w:val="0"/>
      <w:divBdr>
        <w:top w:val="none" w:sz="0" w:space="0" w:color="auto"/>
        <w:left w:val="none" w:sz="0" w:space="0" w:color="auto"/>
        <w:bottom w:val="none" w:sz="0" w:space="0" w:color="auto"/>
        <w:right w:val="none" w:sz="0" w:space="0" w:color="auto"/>
      </w:divBdr>
    </w:div>
    <w:div w:id="1488280023">
      <w:bodyDiv w:val="1"/>
      <w:marLeft w:val="0"/>
      <w:marRight w:val="0"/>
      <w:marTop w:val="0"/>
      <w:marBottom w:val="0"/>
      <w:divBdr>
        <w:top w:val="none" w:sz="0" w:space="0" w:color="auto"/>
        <w:left w:val="none" w:sz="0" w:space="0" w:color="auto"/>
        <w:bottom w:val="none" w:sz="0" w:space="0" w:color="auto"/>
        <w:right w:val="none" w:sz="0" w:space="0" w:color="auto"/>
      </w:divBdr>
    </w:div>
    <w:div w:id="1627276080">
      <w:bodyDiv w:val="1"/>
      <w:marLeft w:val="0"/>
      <w:marRight w:val="0"/>
      <w:marTop w:val="0"/>
      <w:marBottom w:val="0"/>
      <w:divBdr>
        <w:top w:val="none" w:sz="0" w:space="0" w:color="auto"/>
        <w:left w:val="none" w:sz="0" w:space="0" w:color="auto"/>
        <w:bottom w:val="none" w:sz="0" w:space="0" w:color="auto"/>
        <w:right w:val="none" w:sz="0" w:space="0" w:color="auto"/>
      </w:divBdr>
    </w:div>
    <w:div w:id="1858890046">
      <w:bodyDiv w:val="1"/>
      <w:marLeft w:val="0"/>
      <w:marRight w:val="0"/>
      <w:marTop w:val="0"/>
      <w:marBottom w:val="0"/>
      <w:divBdr>
        <w:top w:val="none" w:sz="0" w:space="0" w:color="auto"/>
        <w:left w:val="none" w:sz="0" w:space="0" w:color="auto"/>
        <w:bottom w:val="none" w:sz="0" w:space="0" w:color="auto"/>
        <w:right w:val="none" w:sz="0" w:space="0" w:color="auto"/>
      </w:divBdr>
      <w:divsChild>
        <w:div w:id="114104618">
          <w:marLeft w:val="547"/>
          <w:marRight w:val="0"/>
          <w:marTop w:val="134"/>
          <w:marBottom w:val="0"/>
          <w:divBdr>
            <w:top w:val="none" w:sz="0" w:space="0" w:color="auto"/>
            <w:left w:val="none" w:sz="0" w:space="0" w:color="auto"/>
            <w:bottom w:val="none" w:sz="0" w:space="0" w:color="auto"/>
            <w:right w:val="none" w:sz="0" w:space="0" w:color="auto"/>
          </w:divBdr>
        </w:div>
        <w:div w:id="1760101360">
          <w:marLeft w:val="547"/>
          <w:marRight w:val="0"/>
          <w:marTop w:val="134"/>
          <w:marBottom w:val="0"/>
          <w:divBdr>
            <w:top w:val="none" w:sz="0" w:space="0" w:color="auto"/>
            <w:left w:val="none" w:sz="0" w:space="0" w:color="auto"/>
            <w:bottom w:val="none" w:sz="0" w:space="0" w:color="auto"/>
            <w:right w:val="none" w:sz="0" w:space="0" w:color="auto"/>
          </w:divBdr>
        </w:div>
      </w:divsChild>
    </w:div>
    <w:div w:id="2007513034">
      <w:bodyDiv w:val="1"/>
      <w:marLeft w:val="0"/>
      <w:marRight w:val="0"/>
      <w:marTop w:val="0"/>
      <w:marBottom w:val="0"/>
      <w:divBdr>
        <w:top w:val="none" w:sz="0" w:space="0" w:color="auto"/>
        <w:left w:val="none" w:sz="0" w:space="0" w:color="auto"/>
        <w:bottom w:val="none" w:sz="0" w:space="0" w:color="auto"/>
        <w:right w:val="none" w:sz="0" w:space="0" w:color="auto"/>
      </w:divBdr>
    </w:div>
    <w:div w:id="21001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Feuille_Microsoft_Office_Excel2.xlsx"/><Relationship Id="rId18" Type="http://schemas.openxmlformats.org/officeDocument/2006/relationships/package" Target="embeddings/Document_Microsoft_Office_Word4.docx"/><Relationship Id="rId26" Type="http://schemas.openxmlformats.org/officeDocument/2006/relationships/package" Target="embeddings/Feuille_Microsoft_Office_Excel6.xlsx"/><Relationship Id="rId39" Type="http://schemas.openxmlformats.org/officeDocument/2006/relationships/package" Target="embeddings/Feuille_Microsoft_Office_Excel12.xlsx"/><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package" Target="embeddings/Feuille_Microsoft_Office_Excel9.xlsx"/><Relationship Id="rId38"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package" Target="embeddings/Feuille_Microsoft_Office_Excel3.xlsx"/><Relationship Id="rId20" Type="http://schemas.openxmlformats.org/officeDocument/2006/relationships/image" Target="media/image7.png"/><Relationship Id="rId29" Type="http://schemas.openxmlformats.org/officeDocument/2006/relationships/image" Target="media/image1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Microsoft_Office_Excel1.xlsx"/><Relationship Id="rId24" Type="http://schemas.openxmlformats.org/officeDocument/2006/relationships/package" Target="embeddings/Document_Microsoft_Office_Word5.docx"/><Relationship Id="rId32" Type="http://schemas.openxmlformats.org/officeDocument/2006/relationships/image" Target="media/image15.emf"/><Relationship Id="rId37" Type="http://schemas.openxmlformats.org/officeDocument/2006/relationships/package" Target="embeddings/Feuille_Microsoft_Office_Excel11.xls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package" Target="embeddings/Document_Microsoft_Office_Word7.docx"/><Relationship Id="rId36"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6.png"/><Relationship Id="rId31" Type="http://schemas.openxmlformats.org/officeDocument/2006/relationships/package" Target="embeddings/Feuille_Microsoft_Office_Excel8.xlsx"/><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package" Target="embeddings/Feuille_Microsoft_Office_Excel10.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F76CD-F135-43C5-8F34-ED9E883A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49</Pages>
  <Words>14475</Words>
  <Characters>79616</Characters>
  <Application>Microsoft Office Word</Application>
  <DocSecurity>0</DocSecurity>
  <Lines>663</Lines>
  <Paragraphs>187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IMPACT ASSESSMENT REPORT OF THE HEALTH MICRO-INSURANCE PROGRAMME OF SWAYAM SHIKSHAN PRAYOG (SSP)</vt:lpstr>
      <vt:lpstr>IMPACT ASSESSMENT REPORT OF THE HEALTH MICRO-INSURANCE PROGRAMME OF SWAYAM SHIKSHAN PRAYOG (SSP)</vt:lpstr>
    </vt:vector>
  </TitlesOfParts>
  <Company>FUNDP</Company>
  <LinksUpToDate>false</LinksUpToDate>
  <CharactersWithSpaces>93904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REPORT OF THE HEALTH MICRO-INSURANCE PROGRAMME OF SWAYAM SHIKSHAN PRAYOG (SSP)</dc:title>
  <dc:creator>Darwin</dc:creator>
  <cp:lastModifiedBy>jplatteau</cp:lastModifiedBy>
  <cp:revision>280</cp:revision>
  <cp:lastPrinted>2013-05-29T14:49:00Z</cp:lastPrinted>
  <dcterms:created xsi:type="dcterms:W3CDTF">2013-04-10T10:47:00Z</dcterms:created>
  <dcterms:modified xsi:type="dcterms:W3CDTF">2013-06-05T00:38:00Z</dcterms:modified>
</cp:coreProperties>
</file>